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</w:t>
      </w:r>
      <w:r w:rsidR="00F7595A">
        <w:rPr>
          <w:rFonts w:ascii="Times New Roman" w:hAnsi="Times New Roman" w:cs="Times New Roman"/>
          <w:b/>
          <w:sz w:val="52"/>
          <w:szCs w:val="52"/>
        </w:rPr>
        <w:t>ТРАНСПОРТНАЯ ИНФРАСТРУКТУРА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6D6A" w:rsidRDefault="00586D6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п.г.т. Анна, 2014 г.</w:t>
      </w: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5A" w:rsidRDefault="00F7595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383"/>
        <w:gridCol w:w="1319"/>
      </w:tblGrid>
      <w:tr w:rsidR="000E4C97" w:rsidTr="00586D6A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383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319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3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319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Pr="000E4C97" w:rsidRDefault="000E4C97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организация и зонирование территории 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района</w:t>
            </w:r>
          </w:p>
        </w:tc>
        <w:tc>
          <w:tcPr>
            <w:tcW w:w="1319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586D6A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83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319" w:type="dxa"/>
          </w:tcPr>
          <w:p w:rsidR="00AB3D3B" w:rsidRDefault="0092228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92228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7B7F3B" w:rsidRDefault="008C1EB4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инфраструктура </w:t>
            </w:r>
            <w:r w:rsidR="003F47A1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Аннинского </w:t>
            </w:r>
            <w:r w:rsidR="00586D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319" w:type="dxa"/>
          </w:tcPr>
          <w:p w:rsidR="007B7F3B" w:rsidRDefault="0092228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92228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83" w:type="dxa"/>
          </w:tcPr>
          <w:p w:rsidR="007B7F3B" w:rsidRPr="008C1EB4" w:rsidRDefault="008C1EB4" w:rsidP="00586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населенн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</w:t>
            </w:r>
            <w:r w:rsidR="00586D6A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319" w:type="dxa"/>
          </w:tcPr>
          <w:p w:rsidR="007B7F3B" w:rsidRDefault="0092228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586D6A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92228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83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Сооружения и устройства для хранения, парковки и обслуживания транспортных средств</w:t>
            </w:r>
          </w:p>
        </w:tc>
        <w:tc>
          <w:tcPr>
            <w:tcW w:w="1319" w:type="dxa"/>
          </w:tcPr>
          <w:p w:rsidR="007B7F3B" w:rsidRPr="00F4237D" w:rsidRDefault="00F4237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91FFD" w:rsidTr="00586D6A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83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319" w:type="dxa"/>
          </w:tcPr>
          <w:p w:rsidR="00591FFD" w:rsidRPr="009375B5" w:rsidRDefault="009375B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1D9B" w:rsidTr="00586D6A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383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319" w:type="dxa"/>
          </w:tcPr>
          <w:p w:rsidR="00A21D9B" w:rsidRPr="009375B5" w:rsidRDefault="009375B5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85" w:rsidRDefault="00922285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586D6A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="00922285">
        <w:rPr>
          <w:rFonts w:ascii="Times New Roman" w:hAnsi="Times New Roman" w:cs="Times New Roman"/>
          <w:sz w:val="24"/>
          <w:szCs w:val="24"/>
        </w:rPr>
        <w:t>Транспортная инфраструктура Аннинского муниципального района</w:t>
      </w:r>
      <w:r w:rsidR="009E636F" w:rsidRPr="00586D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36F" w:rsidRPr="00922285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586D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 </w:t>
      </w:r>
      <w:r w:rsidRPr="00586D6A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9E636F" w:rsidRPr="00586D6A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586D6A" w:rsidRPr="00586D6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86D6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6D6A" w:rsidRPr="00586D6A">
        <w:rPr>
          <w:rFonts w:ascii="Times New Roman" w:hAnsi="Times New Roman" w:cs="Times New Roman"/>
          <w:sz w:val="24"/>
          <w:szCs w:val="24"/>
        </w:rPr>
        <w:t>Район</w:t>
      </w:r>
      <w:r w:rsidRPr="00586D6A">
        <w:rPr>
          <w:rFonts w:ascii="Times New Roman" w:hAnsi="Times New Roman" w:cs="Times New Roman"/>
          <w:sz w:val="24"/>
          <w:szCs w:val="24"/>
        </w:rPr>
        <w:t>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Нормативы разработаны в целях обеспечения устойчивого развития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586D6A" w:rsidRPr="00226E65" w:rsidRDefault="00586D6A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расположены 23 административно-территориальные единицы, в том числе 1 городское поселение и 22 сельских поселения.</w:t>
      </w:r>
    </w:p>
    <w:p w:rsidR="00586D6A" w:rsidRPr="00226E65" w:rsidRDefault="009700D9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86D6A">
        <w:rPr>
          <w:rFonts w:ascii="Times New Roman" w:hAnsi="Times New Roman" w:cs="Times New Roman"/>
          <w:sz w:val="24"/>
          <w:szCs w:val="24"/>
        </w:rPr>
        <w:t>Района</w:t>
      </w:r>
      <w:r w:rsidR="009E636F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586D6A">
        <w:rPr>
          <w:rFonts w:ascii="Times New Roman" w:hAnsi="Times New Roman" w:cs="Times New Roman"/>
          <w:sz w:val="24"/>
          <w:szCs w:val="24"/>
        </w:rPr>
        <w:t>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>
        <w:rPr>
          <w:rFonts w:ascii="Times New Roman" w:hAnsi="Times New Roman" w:cs="Times New Roman"/>
          <w:sz w:val="24"/>
          <w:szCs w:val="24"/>
        </w:rPr>
        <w:t>64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586D6A" w:rsidRPr="00226E65">
        <w:rPr>
          <w:rFonts w:ascii="Times New Roman" w:hAnsi="Times New Roman" w:cs="Times New Roman"/>
          <w:sz w:val="24"/>
          <w:szCs w:val="24"/>
        </w:rPr>
        <w:t>населенных пункт</w:t>
      </w:r>
      <w:r w:rsidR="00586D6A">
        <w:rPr>
          <w:rFonts w:ascii="Times New Roman" w:hAnsi="Times New Roman" w:cs="Times New Roman"/>
          <w:sz w:val="24"/>
          <w:szCs w:val="24"/>
        </w:rPr>
        <w:t>а</w:t>
      </w:r>
      <w:r w:rsidR="00586D6A" w:rsidRPr="00226E6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86D6A" w:rsidRPr="00226E65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Городской населенный пункт: </w:t>
      </w:r>
      <w:r>
        <w:rPr>
          <w:rFonts w:ascii="Times New Roman" w:hAnsi="Times New Roman" w:cs="Times New Roman"/>
          <w:sz w:val="24"/>
          <w:szCs w:val="24"/>
        </w:rPr>
        <w:t>п.г.т. Анна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 городского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поселения, административный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Аннинского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700D9" w:rsidRDefault="00586D6A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86D6A">
        <w:rPr>
          <w:rFonts w:ascii="Times New Roman" w:hAnsi="Times New Roman" w:cs="Times New Roman"/>
          <w:sz w:val="24"/>
          <w:szCs w:val="24"/>
        </w:rPr>
        <w:t>Сельские населенные пункты:</w:t>
      </w:r>
      <w:r w:rsidR="00E9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Артюшкинском сельском поселении – село Артюшкино;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Архангельском сельском поселении – село Архангельское;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Березовском сельском поселении – село Березовка, поселок Козловский;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Бродовском сельском поселении – село Бродовое;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Васильевском сельском поселении – село Васильевка, поселок Новонадеждинский, село Софьинка;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Верхнетойденском сельском поселении – село Верхняя Тойда, поселок Дмитровский, село Левашовка, хутор Фоминовка;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Дерябкинском сельском поселении – село Дерябкино;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Краснологском сельском поселении – поселок Красный Лог, поселок Красный;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Мосоловском сельском поселении – село Мосоловка, поселок Денисовка, село Желанное, поселок Первомайское, село Сабуровка;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Нащекинском сельском поселении – село Нащекино, поселок Зеленевка, село Романовка, село Студеное;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Николаевском сельском поселении – село Ноколаевка, поселок Круглоподпольное;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Никольском сельском поселении – село Никольское;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Новожизненском сельском поселении – поселок Новая Жизнь, поселок Александровка, поселок Гусевка, поселок Дубровка, поселок Николаевка, поселок Новоникольский, поселок Петровка, поселок Сергеевка;</w:t>
      </w:r>
    </w:p>
    <w:p w:rsidR="00E91CDB" w:rsidRDefault="00E91CDB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Новокурлакском сельском поселении – село Новый Курлак, поселок Кушлев, село Моховое, поселок Светлый Путь, </w:t>
      </w:r>
      <w:r w:rsidR="008207ED">
        <w:rPr>
          <w:rFonts w:ascii="Times New Roman" w:hAnsi="Times New Roman" w:cs="Times New Roman"/>
          <w:sz w:val="24"/>
          <w:szCs w:val="24"/>
        </w:rPr>
        <w:t>село Старый Курлак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Островском сельском поселении – село Островки, поселок Кругловский, поселок Суровский;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Пугачевском сельском поселении – поселок Центральной усадьбы совхоза «Пугачевский», поселок Октябрьского отделения совхоза «Пугачевский», поселок Первомайского отделения совхоза «Пугачевский»;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Рамоньском сельском поселении – село Рамонье, поселок Бабинка, поселок Гусевка, поселок Новомакаровский;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Рубашевском сельском поселении – поселок Рубашевка, село Большие Ясырки, поселок Комсомольского отделения совхоза «Красное Знамя», поселок Прогресс, поселок отделения «2-я Пятилетка» совхоза «Красное Знамя»;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Садовском сельском поселении – село Садовое;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Старотойденском сельском поселении – село Старая Тойда, поселок Панкратовский;</w:t>
      </w:r>
    </w:p>
    <w:p w:rsidR="008207ED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Старочигольском сельском поселении – село Старая Чигла, село Загорщино;</w:t>
      </w:r>
    </w:p>
    <w:p w:rsidR="008207ED" w:rsidRPr="00586D6A" w:rsidRDefault="008207ED" w:rsidP="00586D6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Хлебородненском сельском поселении – село Хлебородное, село Большая Алексеевка, село Бобяково.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>населенн</w:t>
      </w:r>
      <w:r w:rsidR="001359F0">
        <w:rPr>
          <w:rFonts w:ascii="Times New Roman" w:hAnsi="Times New Roman" w:cs="Times New Roman"/>
          <w:sz w:val="24"/>
          <w:szCs w:val="24"/>
        </w:rPr>
        <w:t>ых</w:t>
      </w:r>
      <w:r w:rsidR="009E636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359F0">
        <w:rPr>
          <w:rFonts w:ascii="Times New Roman" w:hAnsi="Times New Roman" w:cs="Times New Roman"/>
          <w:sz w:val="24"/>
          <w:szCs w:val="24"/>
        </w:rPr>
        <w:t>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1359F0">
        <w:rPr>
          <w:rFonts w:ascii="Times New Roman" w:hAnsi="Times New Roman" w:cs="Times New Roman"/>
          <w:sz w:val="24"/>
          <w:szCs w:val="24"/>
        </w:rPr>
        <w:t>Района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Нормируемыми уровнями структурной организации территории застройки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="001359F0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8E587C">
        <w:rPr>
          <w:rFonts w:ascii="Times New Roman" w:hAnsi="Times New Roman" w:cs="Times New Roman"/>
          <w:sz w:val="24"/>
          <w:szCs w:val="24"/>
        </w:rPr>
        <w:t>являются: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от 1 до 10 гектаров. Для 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>, в границах его исторически сложившейся застройки, площадь квартала составляет 2,5-4 га.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территория застройки в границах красных линий улично-дорожной сети площадью до 40 гектаров в увязке с планировочной структурой </w:t>
      </w:r>
      <w:r w:rsidR="001359F0"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8E587C">
        <w:rPr>
          <w:rFonts w:ascii="Times New Roman" w:hAnsi="Times New Roman" w:cs="Times New Roman"/>
          <w:sz w:val="24"/>
          <w:szCs w:val="24"/>
        </w:rPr>
        <w:t>, применяется преимущественно для многоквартирного многоэтажного строительства;</w:t>
      </w:r>
    </w:p>
    <w:p w:rsidR="009700D9" w:rsidRPr="008E587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87C">
        <w:rPr>
          <w:rFonts w:ascii="Times New Roman" w:hAnsi="Times New Roman" w:cs="Times New Roman"/>
          <w:b/>
          <w:sz w:val="24"/>
          <w:szCs w:val="24"/>
        </w:rPr>
        <w:t>жилой район</w:t>
      </w:r>
      <w:r w:rsidRPr="008E587C">
        <w:rPr>
          <w:rFonts w:ascii="Times New Roman" w:hAnsi="Times New Roman" w:cs="Times New Roman"/>
          <w:sz w:val="24"/>
          <w:szCs w:val="24"/>
        </w:rPr>
        <w:t xml:space="preserve"> - группа кварталов, ограниченная автомобильными магистралями, линиями железной дороги, естественными рубежами или другими линиями градостроительного регулирования. Площадь территорий исторически сложившихся районов </w:t>
      </w:r>
      <w:r w:rsidR="009E636F" w:rsidRPr="008E587C">
        <w:rPr>
          <w:rFonts w:ascii="Times New Roman" w:hAnsi="Times New Roman" w:cs="Times New Roman"/>
          <w:sz w:val="24"/>
          <w:szCs w:val="24"/>
        </w:rPr>
        <w:t>п.г.т.</w:t>
      </w:r>
      <w:r w:rsidR="009E636F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8E587C">
        <w:rPr>
          <w:rFonts w:ascii="Times New Roman" w:hAnsi="Times New Roman" w:cs="Times New Roman"/>
          <w:sz w:val="24"/>
          <w:szCs w:val="24"/>
        </w:rPr>
        <w:t xml:space="preserve"> составляет от 30 до 120 гектаров.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8E587C">
        <w:rPr>
          <w:b/>
        </w:rPr>
        <w:t>группа жилой, общественной, производственной, смешанной застройки</w:t>
      </w:r>
      <w:r w:rsidRPr="008E587C">
        <w:t xml:space="preserve"> – территория, размером от 1 до 3 га с населением, обеспеченным объектами повседневного обслуживания в пределах своей территории, а объектами периодического обслуживания</w:t>
      </w:r>
      <w:r w:rsidRPr="00226E65">
        <w:t xml:space="preserve"> – в пределах нормативной доступности. Группы жилой, смешанной жилой застройки формируются в виде части квартала. Границы группы устанавливаются по красным линиям улично-дорожной сети, в случае примыкания – по границам землепользования.</w:t>
      </w:r>
    </w:p>
    <w:p w:rsidR="009700D9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В </w:t>
      </w:r>
      <w:r w:rsidR="009E636F" w:rsidRPr="008E587C">
        <w:t>п.г.т.</w:t>
      </w:r>
      <w:r w:rsidR="009E636F">
        <w:t xml:space="preserve"> Анна</w:t>
      </w:r>
      <w:r w:rsidR="009E636F" w:rsidRPr="00226E65">
        <w:t xml:space="preserve"> </w:t>
      </w:r>
      <w:r w:rsidRPr="00226E65">
        <w:t>структурными элементами планировки являются кварталы, группы кварталов, ансамбли улиц и площадей, группы жилой, смешанной застройки и микрорайоны.</w:t>
      </w:r>
    </w:p>
    <w:p w:rsidR="001359F0" w:rsidRPr="001359F0" w:rsidRDefault="001359F0" w:rsidP="009700D9">
      <w:pPr>
        <w:widowControl w:val="0"/>
        <w:spacing w:line="239" w:lineRule="auto"/>
        <w:ind w:firstLine="709"/>
        <w:jc w:val="both"/>
      </w:pPr>
      <w:r w:rsidRPr="001359F0">
        <w:t>В сельских населенных пунктах структурными элементами планировки являются кварталы и группы застройки</w:t>
      </w:r>
      <w: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Pr="00226E65">
        <w:rPr>
          <w:rFonts w:ascii="Times New Roman" w:hAnsi="Times New Roman" w:cs="Times New Roman"/>
          <w:sz w:val="24"/>
          <w:szCs w:val="24"/>
        </w:rPr>
        <w:t>Интенсивность использования территории структурной единицы населенного пункта характеризуется плотностью застройки и процентом застроенности территории.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Плотность застройки и процент застроенности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застроенности территории и средней (расчетной) этажности приведены в таблице 1.</w:t>
      </w: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042304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x y;z-index:251660288" from="1.85pt,27.3pt" to="97.85pt,111.3pt"/>
        </w:pict>
      </w:r>
      <w:r w:rsidR="009700D9" w:rsidRPr="00226E65">
        <w:rPr>
          <w:rFonts w:ascii="Times New Roman" w:hAnsi="Times New Roman" w:cs="Times New Roman"/>
          <w:sz w:val="24"/>
          <w:szCs w:val="24"/>
        </w:rPr>
        <w:t>Таблица 1. Показатели плотности застройки, процент застроенности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9700D9" w:rsidRPr="00226E65" w:rsidTr="009E636F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застройки    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9700D9" w:rsidRPr="00226E65" w:rsidRDefault="009700D9" w:rsidP="009E63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застроенности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4,1 - 10,0 тыс. кв. м/га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10,1 - 15,0 тыс. кв. м/га    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7,1-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8,1-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9,1-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10,1-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12,1-</w:t>
            </w:r>
          </w:p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14,1-15,0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м/га).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4. В ячейках таблицы указана средняя (расчетная) этажность зданий, соответствующая максимальным значениям плотности и застроенности.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6E65">
        <w:rPr>
          <w:rFonts w:ascii="Times New Roman" w:hAnsi="Times New Roman" w:cs="Times New Roman"/>
          <w:sz w:val="24"/>
          <w:szCs w:val="24"/>
        </w:rPr>
        <w:t xml:space="preserve">При реконструкции кварталов может быть сохранена и модернизирована существующая капитальная застройка. Допускается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санитарно-гигиенических, противопожарных и других требований, а также требований настоящих нормативов. При этом необходимо также обеспечивать нормативный уровень обслуживания населения в соответствии с требованиями </w:t>
      </w:r>
      <w:r w:rsidR="00922285" w:rsidRPr="002C6F7E">
        <w:rPr>
          <w:rFonts w:ascii="Times New Roman" w:hAnsi="Times New Roman" w:cs="Times New Roman"/>
          <w:sz w:val="24"/>
          <w:szCs w:val="24"/>
        </w:rPr>
        <w:t>местных нормативов градостроительного проектирования</w:t>
      </w:r>
      <w:r w:rsidR="00922285">
        <w:rPr>
          <w:rFonts w:ascii="Times New Roman" w:hAnsi="Times New Roman" w:cs="Times New Roman"/>
          <w:sz w:val="24"/>
          <w:szCs w:val="24"/>
        </w:rPr>
        <w:t xml:space="preserve"> </w:t>
      </w:r>
      <w:r w:rsidR="00922285" w:rsidRPr="00226E65">
        <w:rPr>
          <w:rFonts w:ascii="Times New Roman" w:hAnsi="Times New Roman" w:cs="Times New Roman"/>
          <w:sz w:val="24"/>
          <w:szCs w:val="24"/>
        </w:rPr>
        <w:t xml:space="preserve">«Планировка общественно-деловых зон населенных пунктов </w:t>
      </w:r>
      <w:r w:rsidR="00922285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="00937A63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922285" w:rsidRPr="00226E65">
        <w:rPr>
          <w:rFonts w:ascii="Times New Roman" w:hAnsi="Times New Roman" w:cs="Times New Roman"/>
          <w:sz w:val="24"/>
          <w:szCs w:val="24"/>
        </w:rPr>
        <w:t>»</w:t>
      </w:r>
      <w:r w:rsidRPr="00226E65">
        <w:rPr>
          <w:rFonts w:ascii="Times New Roman" w:hAnsi="Times New Roman" w:cs="Times New Roman"/>
          <w:sz w:val="24"/>
          <w:szCs w:val="24"/>
        </w:rPr>
        <w:t>, а также модернизацию инженерной и транспортной инфраструктур.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новых территориях жилой застройки населенных пунктов</w:t>
      </w:r>
      <w:r w:rsidRPr="00226E65">
        <w:rPr>
          <w:i/>
        </w:rPr>
        <w:t xml:space="preserve"> </w:t>
      </w:r>
      <w:r w:rsidRPr="00226E65"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со встроенными в первые этажи или пристроенными помещениями общественного назначения, кроме учреждений образования и воспитания.</w:t>
      </w:r>
    </w:p>
    <w:p w:rsidR="00922285" w:rsidRDefault="00922285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lastRenderedPageBreak/>
        <w:t xml:space="preserve">2.6.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22285" w:rsidRDefault="009700D9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  <w:bookmarkStart w:id="2" w:name="_Toc297163239"/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285" w:rsidRDefault="00922285" w:rsidP="0092228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C97" w:rsidRPr="00922285" w:rsidRDefault="000E4C97" w:rsidP="0092228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28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922285">
        <w:rPr>
          <w:rFonts w:ascii="Times New Roman" w:hAnsi="Times New Roman" w:cs="Times New Roman"/>
          <w:b/>
          <w:bCs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AB3D3B" w:rsidP="00922285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bookmarkStart w:id="3" w:name="_Toc297163262"/>
      <w:bookmarkEnd w:id="2"/>
      <w:r w:rsidR="009700D9" w:rsidRPr="00922285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bookmarkEnd w:id="3"/>
      <w:r w:rsidR="00B02D8F" w:rsidRPr="00922285">
        <w:rPr>
          <w:rFonts w:ascii="Times New Roman" w:hAnsi="Times New Roman" w:cs="Times New Roman"/>
          <w:sz w:val="24"/>
          <w:szCs w:val="24"/>
        </w:rPr>
        <w:t xml:space="preserve">АННИНСКОГО </w:t>
      </w:r>
      <w:r w:rsidR="00D109C9" w:rsidRPr="0092228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700D9" w:rsidRPr="00226E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00D9" w:rsidRPr="00226E65" w:rsidRDefault="00F4237D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263"/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sz w:val="24"/>
          <w:szCs w:val="24"/>
        </w:rPr>
        <w:t>.1. Улично-дорожная сеть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>населенн</w:t>
      </w:r>
      <w:r w:rsidR="00D109C9">
        <w:rPr>
          <w:rFonts w:ascii="Times New Roman" w:hAnsi="Times New Roman" w:cs="Times New Roman"/>
          <w:i w:val="0"/>
          <w:iCs w:val="0"/>
          <w:sz w:val="24"/>
          <w:szCs w:val="24"/>
        </w:rPr>
        <w:t>ых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пункт</w:t>
      </w:r>
      <w:r w:rsidR="00D109C9">
        <w:rPr>
          <w:rFonts w:ascii="Times New Roman" w:hAnsi="Times New Roman" w:cs="Times New Roman"/>
          <w:i w:val="0"/>
          <w:iCs w:val="0"/>
          <w:sz w:val="24"/>
          <w:szCs w:val="24"/>
        </w:rPr>
        <w:t>ов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End w:id="4"/>
      <w:r w:rsidR="00D109C9">
        <w:rPr>
          <w:rFonts w:ascii="Times New Roman" w:hAnsi="Times New Roman" w:cs="Times New Roman"/>
          <w:i w:val="0"/>
          <w:iCs w:val="0"/>
          <w:sz w:val="24"/>
          <w:szCs w:val="24"/>
        </w:rPr>
        <w:t>Района</w:t>
      </w:r>
    </w:p>
    <w:p w:rsidR="00922285" w:rsidRDefault="00922285" w:rsidP="009700D9">
      <w:pPr>
        <w:widowControl w:val="0"/>
        <w:spacing w:line="239" w:lineRule="auto"/>
        <w:ind w:firstLine="709"/>
        <w:jc w:val="both"/>
        <w:rPr>
          <w:b/>
        </w:rPr>
      </w:pP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</w:t>
      </w:r>
      <w:r w:rsidR="009700D9" w:rsidRPr="00226E65">
        <w:t xml:space="preserve">.  Улично-дорожная сеть </w:t>
      </w:r>
      <w:r w:rsidR="009E636F">
        <w:t>населенн</w:t>
      </w:r>
      <w:r w:rsidR="00D109C9">
        <w:t>ых</w:t>
      </w:r>
      <w:r w:rsidR="009E636F">
        <w:t xml:space="preserve"> пункт</w:t>
      </w:r>
      <w:r w:rsidR="00D109C9">
        <w:t>ов</w:t>
      </w:r>
      <w:r w:rsidR="009E636F">
        <w:t xml:space="preserve"> </w:t>
      </w:r>
      <w:r w:rsidR="00D109C9">
        <w:t>Района</w:t>
      </w:r>
      <w:r w:rsidR="009700D9" w:rsidRPr="00226E65">
        <w:t xml:space="preserve">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.1.2</w:t>
      </w:r>
      <w:r w:rsidR="009700D9" w:rsidRPr="00226E65"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Категории улиц и дорог </w:t>
      </w:r>
      <w:r w:rsidR="00D109C9">
        <w:t>населенных пунктов Района</w:t>
      </w:r>
      <w:r w:rsidR="00D109C9" w:rsidRPr="00226E65">
        <w:t xml:space="preserve"> </w:t>
      </w:r>
      <w:r w:rsidRPr="00226E65">
        <w:t>следует назначать в соответствии с классификацией, приведенной в таблице 2.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</w:p>
    <w:p w:rsidR="009700D9" w:rsidRDefault="009700D9" w:rsidP="009700D9">
      <w:pPr>
        <w:widowControl w:val="0"/>
        <w:spacing w:line="239" w:lineRule="auto"/>
        <w:ind w:firstLine="709"/>
        <w:jc w:val="center"/>
      </w:pPr>
      <w:r w:rsidRPr="00226E65">
        <w:t>Таблица 2</w:t>
      </w:r>
      <w:r w:rsidR="00F4237D">
        <w:t>.</w:t>
      </w:r>
      <w:r w:rsidRPr="00226E65">
        <w:t xml:space="preserve"> Классификация категории улиц и дорог </w:t>
      </w:r>
      <w:r w:rsidR="00D109C9">
        <w:t>населенных пунктов Района</w:t>
      </w:r>
    </w:p>
    <w:p w:rsidR="008C1EB4" w:rsidRPr="00226E65" w:rsidRDefault="008C1EB4" w:rsidP="009700D9">
      <w:pPr>
        <w:widowControl w:val="0"/>
        <w:spacing w:line="239" w:lineRule="auto"/>
        <w:ind w:firstLine="709"/>
        <w:jc w:val="center"/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7"/>
        <w:gridCol w:w="6628"/>
      </w:tblGrid>
      <w:tr w:rsidR="009700D9" w:rsidRPr="00226E65" w:rsidTr="00F4237D">
        <w:trPr>
          <w:trHeight w:val="559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Категория дорог и улиц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Основное назначение дорог и улиц</w:t>
            </w:r>
          </w:p>
        </w:tc>
      </w:tr>
      <w:tr w:rsidR="00F4237D" w:rsidRPr="00226E65" w:rsidTr="00F4237D">
        <w:trPr>
          <w:trHeight w:val="313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F4237D" w:rsidRPr="00226E65" w:rsidRDefault="00F4237D" w:rsidP="009E63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F4237D" w:rsidRPr="00226E65" w:rsidRDefault="00F4237D" w:rsidP="009E63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700D9" w:rsidRPr="00226E65" w:rsidTr="00F4237D">
        <w:trPr>
          <w:trHeight w:val="227"/>
          <w:jc w:val="center"/>
        </w:trPr>
        <w:tc>
          <w:tcPr>
            <w:tcW w:w="9755" w:type="dxa"/>
            <w:gridSpan w:val="2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rPr>
                <w:shd w:val="clear" w:color="auto" w:fill="E0E0E0"/>
              </w:rPr>
              <w:t>Магистральные дороги</w:t>
            </w:r>
            <w:r w:rsidRPr="00226E65">
              <w:t>:</w:t>
            </w:r>
          </w:p>
        </w:tc>
      </w:tr>
      <w:tr w:rsidR="009700D9" w:rsidRPr="00226E65" w:rsidTr="00F4237D">
        <w:trPr>
          <w:trHeight w:val="1245"/>
          <w:jc w:val="center"/>
        </w:trPr>
        <w:tc>
          <w:tcPr>
            <w:tcW w:w="3127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</w:pPr>
            <w:r w:rsidRPr="00226E65">
              <w:t>регулируемого движения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 xml:space="preserve">Транспортная связь между районами </w:t>
            </w:r>
            <w:r w:rsidR="00D109C9">
              <w:t>населенных пунктов Района</w:t>
            </w:r>
            <w:r w:rsidRPr="00226E65">
              <w:t>,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 в одном уровне</w:t>
            </w:r>
          </w:p>
        </w:tc>
      </w:tr>
      <w:tr w:rsidR="009700D9" w:rsidRPr="00226E65" w:rsidTr="00F4237D">
        <w:trPr>
          <w:trHeight w:val="227"/>
          <w:jc w:val="center"/>
        </w:trPr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rPr>
                <w:shd w:val="clear" w:color="auto" w:fill="E0E0E0"/>
              </w:rPr>
              <w:t>Магистральные улицы</w:t>
            </w:r>
            <w:r w:rsidRPr="00226E65">
              <w:t xml:space="preserve">: </w:t>
            </w:r>
          </w:p>
        </w:tc>
      </w:tr>
      <w:tr w:rsidR="009700D9" w:rsidRPr="00226E65" w:rsidTr="00F4237D">
        <w:trPr>
          <w:trHeight w:val="227"/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ind w:firstLine="142"/>
            </w:pPr>
            <w:r w:rsidRPr="00226E65">
              <w:t>общегородского значения: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</w:p>
        </w:tc>
      </w:tr>
      <w:tr w:rsidR="009700D9" w:rsidRPr="00226E65" w:rsidTr="00F4237D">
        <w:trPr>
          <w:trHeight w:val="1245"/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:rsidR="009700D9" w:rsidRPr="00226E65" w:rsidRDefault="009700D9" w:rsidP="009E636F">
            <w:pPr>
              <w:widowControl w:val="0"/>
            </w:pPr>
            <w:r w:rsidRPr="00226E65">
              <w:t>непрерывного движения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9700D9" w:rsidRPr="00226E65" w:rsidRDefault="009700D9" w:rsidP="00D109C9">
            <w:pPr>
              <w:widowControl w:val="0"/>
              <w:jc w:val="both"/>
            </w:pPr>
            <w:r w:rsidRPr="00226E65">
              <w:t>Транспортная связь между жилыми, производственными зонами и общественным</w:t>
            </w:r>
            <w:r w:rsidR="00D109C9">
              <w:t>и</w:t>
            </w:r>
            <w:r w:rsidRPr="00226E65">
              <w:t xml:space="preserve"> центр</w:t>
            </w:r>
            <w:r w:rsidR="00D109C9">
              <w:t>ами</w:t>
            </w:r>
            <w:r w:rsidRPr="00226E65">
              <w:t xml:space="preserve"> </w:t>
            </w:r>
            <w:r w:rsidR="00D109C9">
              <w:t>населенных пунктов Района</w:t>
            </w:r>
            <w:r w:rsidRPr="00226E65">
              <w:t>, а также с другими магистральными улицами, городскими и внешними автомобильными дорогами. Обеспечение движения транспорта по основным направлениям в разных уровнях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</w:pPr>
            <w:r w:rsidRPr="00226E65">
              <w:t>регулируемого движения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700D9" w:rsidRDefault="009700D9" w:rsidP="009E636F">
            <w:pPr>
              <w:widowControl w:val="0"/>
              <w:jc w:val="both"/>
            </w:pPr>
            <w:r w:rsidRPr="00226E65">
              <w:t>Транспортная связь между жилыми, производственными зонами и центр</w:t>
            </w:r>
            <w:r w:rsidR="00D109C9">
              <w:t>ами</w:t>
            </w:r>
            <w:r w:rsidRPr="00226E65">
              <w:t xml:space="preserve"> </w:t>
            </w:r>
            <w:r w:rsidR="00D109C9">
              <w:t>населенных пунктов Района</w:t>
            </w:r>
            <w:r w:rsidRPr="00226E65">
              <w:t>, центрами планировочных районов; выходы на магистральные улицы и дороги и внешние автомобильные дороги. Пересечения с магистральными улицами и дорогами в одном уровне</w:t>
            </w:r>
          </w:p>
          <w:p w:rsidR="008C1EB4" w:rsidRPr="00226E65" w:rsidRDefault="008C1EB4" w:rsidP="009E636F">
            <w:pPr>
              <w:widowControl w:val="0"/>
              <w:jc w:val="both"/>
            </w:pPr>
          </w:p>
        </w:tc>
      </w:tr>
      <w:tr w:rsidR="009700D9" w:rsidRPr="00226E65" w:rsidTr="00F4237D">
        <w:trPr>
          <w:trHeight w:val="284"/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widowControl w:val="0"/>
              <w:ind w:firstLine="142"/>
            </w:pPr>
            <w:r w:rsidRPr="00226E65">
              <w:t>районного значения: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ind w:right="-57"/>
            </w:pPr>
            <w:r w:rsidRPr="00226E65">
              <w:t>транспортно-пешеходные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 xml:space="preserve">Транспортная и пешеходная связи между жилыми районами, а также между жилыми и производственными зонами, общественными центрами, выходы на другие магистральные улицы и дороги </w:t>
            </w:r>
          </w:p>
        </w:tc>
      </w:tr>
      <w:tr w:rsidR="00F4237D" w:rsidRPr="00226E65" w:rsidTr="00F4237D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F4237D" w:rsidRPr="00F4237D" w:rsidRDefault="00F4237D" w:rsidP="00F4237D">
            <w:pPr>
              <w:widowControl w:val="0"/>
              <w:ind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ind w:right="-57"/>
              <w:jc w:val="both"/>
            </w:pPr>
            <w:r w:rsidRPr="00226E65">
              <w:t>пешеходно-транспортные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9700D9" w:rsidRPr="00226E65" w:rsidTr="00F4237D">
        <w:trPr>
          <w:trHeight w:val="227"/>
          <w:jc w:val="center"/>
        </w:trPr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rPr>
                <w:shd w:val="clear" w:color="auto" w:fill="E0E0E0"/>
              </w:rPr>
              <w:t>Улицы и дороги местного значения</w:t>
            </w:r>
            <w:r w:rsidRPr="00226E65">
              <w:t>: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улицы в жилой застройке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</w:tcPr>
          <w:p w:rsidR="009700D9" w:rsidRPr="00226E65" w:rsidRDefault="009700D9" w:rsidP="009E636F">
            <w:pPr>
              <w:widowControl w:val="0"/>
              <w:ind w:right="-57"/>
            </w:pPr>
            <w:r w:rsidRPr="00226E65">
              <w:t>улицы и дороги в производственных, в том числе коммунально-складских зонах</w:t>
            </w:r>
          </w:p>
        </w:tc>
        <w:tc>
          <w:tcPr>
            <w:tcW w:w="662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 xml:space="preserve"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 </w:t>
            </w:r>
          </w:p>
        </w:tc>
      </w:tr>
      <w:tr w:rsidR="009700D9" w:rsidRPr="00226E65" w:rsidTr="00F4237D">
        <w:trPr>
          <w:trHeight w:val="1123"/>
          <w:jc w:val="center"/>
        </w:trPr>
        <w:tc>
          <w:tcPr>
            <w:tcW w:w="3127" w:type="dxa"/>
          </w:tcPr>
          <w:p w:rsidR="009700D9" w:rsidRPr="00226E65" w:rsidRDefault="009700D9" w:rsidP="009E636F">
            <w:pPr>
              <w:widowControl w:val="0"/>
              <w:ind w:right="-57"/>
            </w:pPr>
            <w:r w:rsidRPr="00226E65">
              <w:t>пешеходные улицы и дороги</w:t>
            </w:r>
          </w:p>
        </w:tc>
        <w:tc>
          <w:tcPr>
            <w:tcW w:w="662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парковые дороги</w:t>
            </w:r>
          </w:p>
        </w:tc>
        <w:tc>
          <w:tcPr>
            <w:tcW w:w="662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проезды</w:t>
            </w:r>
          </w:p>
        </w:tc>
        <w:tc>
          <w:tcPr>
            <w:tcW w:w="662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Подъезд транспортных средств к жилым, общественным зданиям, учреждениям, предприятиям и другим объектам внутри микрорайонов (кварталов)</w:t>
            </w:r>
          </w:p>
        </w:tc>
      </w:tr>
      <w:tr w:rsidR="009700D9" w:rsidRPr="00226E65" w:rsidTr="00F4237D">
        <w:trPr>
          <w:jc w:val="center"/>
        </w:trPr>
        <w:tc>
          <w:tcPr>
            <w:tcW w:w="3127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велосипедные дорожки</w:t>
            </w:r>
          </w:p>
        </w:tc>
        <w:tc>
          <w:tcPr>
            <w:tcW w:w="662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 xml:space="preserve">По свободным от других видов транспорта трассам. 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F4237D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.1.3</w:t>
      </w:r>
      <w:r w:rsidR="009700D9" w:rsidRPr="00226E65">
        <w:t xml:space="preserve">. Основные расчетные параметры уличной сети </w:t>
      </w:r>
      <w:r w:rsidR="00D109C9">
        <w:t>населенных пунктов Района</w:t>
      </w:r>
      <w:r w:rsidR="00D109C9" w:rsidRPr="00226E65">
        <w:t xml:space="preserve"> </w:t>
      </w:r>
      <w:r w:rsidR="009700D9" w:rsidRPr="00226E65">
        <w:t>следует устанавливать в соответствии с таблицей 3.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widowControl w:val="0"/>
        <w:ind w:firstLine="709"/>
        <w:outlineLvl w:val="0"/>
      </w:pPr>
      <w:bookmarkStart w:id="5" w:name="_Toc297163264"/>
      <w:r w:rsidRPr="00226E65">
        <w:t>Таблица 3</w:t>
      </w:r>
      <w:r w:rsidR="00F4237D">
        <w:t>.</w:t>
      </w:r>
      <w:r w:rsidRPr="00226E65">
        <w:t xml:space="preserve"> Расчетные параметры уличной сети </w:t>
      </w:r>
      <w:bookmarkEnd w:id="5"/>
      <w:r w:rsidR="00D109C9">
        <w:t>населенных пунктов Района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9700D9" w:rsidRPr="00226E65" w:rsidTr="00F4237D">
        <w:trPr>
          <w:trHeight w:val="659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Категория дорог и улиц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Ширина в крас-ных ли-ниях, м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Число полос движе-ния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Ширина пешеход-ной части тротуара, м</w:t>
            </w:r>
          </w:p>
        </w:tc>
      </w:tr>
      <w:tr w:rsidR="00F4237D" w:rsidRPr="00226E65" w:rsidTr="00F4237D">
        <w:trPr>
          <w:trHeight w:val="404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4237D" w:rsidRPr="00226E65" w:rsidRDefault="00F4237D" w:rsidP="009E63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ind w:left="-57" w:right="-57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ind w:left="-57" w:right="-57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ind w:left="-57" w:right="-57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ind w:left="-57" w:right="-57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4237D" w:rsidRPr="00F4237D" w:rsidRDefault="00F4237D" w:rsidP="009E636F">
            <w:pPr>
              <w:widowControl w:val="0"/>
              <w:ind w:left="-57" w:right="-57"/>
              <w:jc w:val="center"/>
              <w:rPr>
                <w:b/>
                <w:spacing w:val="-2"/>
              </w:rPr>
            </w:pPr>
            <w:r w:rsidRPr="00F4237D">
              <w:rPr>
                <w:b/>
                <w:spacing w:val="-2"/>
              </w:rPr>
              <w:t>8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  <w:shd w:val="clear" w:color="auto" w:fill="D9D9D9"/>
              </w:rPr>
              <w:t>Магистральные дороги</w:t>
            </w:r>
            <w:r w:rsidRPr="00226E65">
              <w:rPr>
                <w:spacing w:val="-2"/>
              </w:rPr>
              <w:t xml:space="preserve">: 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 w:firstLine="102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скоростного движения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120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50-75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3,75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4-8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 w:firstLine="102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регулируемого движения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40-65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2-6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  <w:shd w:val="clear" w:color="auto" w:fill="D9D9D9"/>
              </w:rPr>
              <w:t>Магистральные улицы</w:t>
            </w:r>
            <w:r w:rsidRPr="00226E65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общегородского значения: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непрерывного движения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40-80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3,75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4-8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регулируемого движения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37-75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4-8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rPr>
                <w:spacing w:val="-2"/>
              </w:rPr>
            </w:pPr>
            <w:r w:rsidRPr="00226E65">
              <w:rPr>
                <w:spacing w:val="-2"/>
              </w:rPr>
              <w:t>районного значения: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6"/>
              </w:rPr>
            </w:pPr>
            <w:r w:rsidRPr="00226E65">
              <w:rPr>
                <w:spacing w:val="-6"/>
              </w:rPr>
              <w:t>транспортно-пешеходные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35-45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2-4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2,25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пешеходно-транспортные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30-40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125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9700D9" w:rsidRPr="00226E65" w:rsidRDefault="009700D9" w:rsidP="009E636F">
            <w:pPr>
              <w:widowControl w:val="0"/>
              <w:ind w:left="57"/>
            </w:pPr>
            <w:r w:rsidRPr="00226E65">
              <w:t xml:space="preserve">Улицы и дороги местного </w:t>
            </w:r>
            <w:r w:rsidRPr="00226E65">
              <w:rPr>
                <w:spacing w:val="-2"/>
              </w:rPr>
              <w:t>значения: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улицы в жилой застройке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15-25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2-3*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90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rPr>
                <w:spacing w:val="-2"/>
              </w:rPr>
            </w:pPr>
            <w:r w:rsidRPr="00226E65">
              <w:rPr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15-25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90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парковые дороги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75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F4237D" w:rsidRPr="00226E65" w:rsidTr="009E636F">
        <w:trPr>
          <w:trHeight w:val="227"/>
          <w:jc w:val="center"/>
        </w:trPr>
        <w:tc>
          <w:tcPr>
            <w:tcW w:w="2835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1</w:t>
            </w:r>
          </w:p>
        </w:tc>
        <w:tc>
          <w:tcPr>
            <w:tcW w:w="1077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1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9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1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1" w:type="dxa"/>
          </w:tcPr>
          <w:p w:rsidR="00F4237D" w:rsidRPr="00F4237D" w:rsidRDefault="00F4237D" w:rsidP="00F4237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Проезды: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10-11,5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2,75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7-10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0,75</w:t>
            </w:r>
          </w:p>
        </w:tc>
      </w:tr>
      <w:tr w:rsidR="009700D9" w:rsidRPr="00226E65" w:rsidTr="009E636F">
        <w:trPr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  <w:shd w:val="clear" w:color="auto" w:fill="D9D9D9"/>
              </w:rPr>
              <w:t>Пешеходные улицы</w:t>
            </w:r>
            <w:r w:rsidRPr="00226E65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323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226E65">
              <w:rPr>
                <w:spacing w:val="-4"/>
              </w:rPr>
              <w:t xml:space="preserve">По </w:t>
            </w:r>
          </w:p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226E65">
              <w:rPr>
                <w:spacing w:val="-4"/>
              </w:rPr>
              <w:t>расчету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 xml:space="preserve">По 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проекту</w:t>
            </w:r>
          </w:p>
        </w:tc>
      </w:tr>
      <w:tr w:rsidR="009700D9" w:rsidRPr="00226E65" w:rsidTr="009E636F">
        <w:trPr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0,75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То же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 xml:space="preserve">По 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проекту</w:t>
            </w:r>
          </w:p>
        </w:tc>
      </w:tr>
      <w:tr w:rsidR="009700D9" w:rsidRPr="00226E65" w:rsidTr="009E636F">
        <w:trPr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Велосипедные дорожки: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1-2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</w:tbl>
    <w:p w:rsidR="00F4237D" w:rsidRDefault="00F4237D" w:rsidP="009700D9">
      <w:pPr>
        <w:widowControl w:val="0"/>
        <w:ind w:firstLine="720"/>
        <w:jc w:val="both"/>
        <w:rPr>
          <w:i/>
          <w:spacing w:val="40"/>
        </w:rPr>
      </w:pPr>
    </w:p>
    <w:p w:rsidR="009700D9" w:rsidRPr="00226E65" w:rsidRDefault="009700D9" w:rsidP="009700D9">
      <w:pPr>
        <w:widowControl w:val="0"/>
        <w:ind w:firstLine="720"/>
        <w:jc w:val="both"/>
        <w:rPr>
          <w:i/>
          <w:spacing w:val="40"/>
        </w:rPr>
      </w:pPr>
      <w:r w:rsidRPr="00226E65">
        <w:rPr>
          <w:i/>
          <w:spacing w:val="40"/>
        </w:rPr>
        <w:t>Примечания: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2.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3. Для движения автобусов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F4237D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.1.4</w:t>
      </w:r>
      <w:r w:rsidR="009700D9" w:rsidRPr="00226E65">
        <w:t>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к отдельно стоящим зданиям – второстепенные с шириной проезжей части 3,5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lastRenderedPageBreak/>
        <w:t>3</w:t>
      </w:r>
      <w:r w:rsidR="009700D9" w:rsidRPr="00226E65">
        <w:rPr>
          <w:b/>
        </w:rPr>
        <w:t>.1.5.</w:t>
      </w:r>
      <w:r w:rsidR="009700D9" w:rsidRPr="00226E65"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Использование разворотных площадок для стоянки автомобилей не допускается.</w:t>
      </w: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.1.6</w:t>
      </w:r>
      <w:r w:rsidR="009700D9" w:rsidRPr="00226E65">
        <w:t>. Микрорайоны (кварталы) с застройкой 5 этажей и выше обслуживаются двухполосными, а с застройкой до 5 этажей – однополосными проездами.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На однополосных проездах следует предусматривать разъездные площадки шириной 6 м и длиной 15 м на расстоянии не более 75 м одна от другой. В пределах фасадов зданий, имеющих входы, проезды устраиваются шириной 5,5 м.</w:t>
      </w: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.1.7</w:t>
      </w:r>
      <w:r w:rsidR="009700D9" w:rsidRPr="00226E65"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 w:rsidRPr="00226E65"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 w:rsidRPr="00226E65"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 w:rsidRPr="00226E65"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.1.8.</w:t>
      </w:r>
      <w:r w:rsidR="009700D9" w:rsidRPr="00226E65">
        <w:t xml:space="preserve"> В зоне малоэтажной жилой застройки </w:t>
      </w:r>
      <w:r w:rsidR="009700D9" w:rsidRPr="008C1EB4">
        <w:t>второстепенные проезды</w:t>
      </w:r>
      <w:r w:rsidR="009700D9" w:rsidRPr="00226E65"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.1.9</w:t>
      </w:r>
      <w:r w:rsidR="009700D9" w:rsidRPr="00226E65">
        <w:t>. Расстояние от края проезжей части автодорог улично-дорожной сети, сети общественного пассажирского транспорта до жилых и общественных зданий, границ территорий лечебных, дошкольных образовательных учреждений, школ следует принимать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</w:t>
      </w: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.1.10</w:t>
      </w:r>
      <w:r w:rsidR="009700D9" w:rsidRPr="00226E65">
        <w:t>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.1.11</w:t>
      </w:r>
      <w:r w:rsidR="009700D9" w:rsidRPr="00226E65"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до проезжей части, опор транспортных сооружений и деревьев – 0,75;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до тротуаров – 0,5;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до стоянок автомобилей и остановок общественного транспорта – 1,5.</w:t>
      </w: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.1.12</w:t>
      </w:r>
      <w:r w:rsidR="009700D9" w:rsidRPr="00226E65">
        <w:t xml:space="preserve">. Основные </w:t>
      </w:r>
      <w:r w:rsidR="009700D9" w:rsidRPr="008C1EB4">
        <w:t>пешеходные коммуникации</w:t>
      </w:r>
      <w:r w:rsidR="009700D9" w:rsidRPr="00226E65">
        <w:t xml:space="preserve"> (тротуары, аллеи, дорожки, тропинки)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</w:t>
      </w:r>
      <w:r w:rsidR="009700D9" w:rsidRPr="00226E65">
        <w:lastRenderedPageBreak/>
        <w:t>общественных зон и объектов рекреации.</w:t>
      </w:r>
    </w:p>
    <w:p w:rsidR="009700D9" w:rsidRPr="00226E65" w:rsidRDefault="009700D9" w:rsidP="009700D9">
      <w:pPr>
        <w:widowControl w:val="0"/>
        <w:spacing w:line="238" w:lineRule="auto"/>
        <w:ind w:firstLine="709"/>
        <w:jc w:val="both"/>
      </w:pPr>
      <w:r w:rsidRPr="00226E65">
        <w:t>Проектирование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движения, но принимать не менее 1,5 м.</w:t>
      </w:r>
    </w:p>
    <w:p w:rsidR="009700D9" w:rsidRPr="00226E65" w:rsidRDefault="009700D9" w:rsidP="009700D9">
      <w:pPr>
        <w:widowControl w:val="0"/>
        <w:spacing w:line="238" w:lineRule="auto"/>
        <w:ind w:firstLine="709"/>
        <w:jc w:val="both"/>
      </w:pPr>
      <w:r w:rsidRPr="00226E65">
        <w:t>Общая ширина пешеходной коммуникации в случае размещения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Ширина пешеходных коммуникаций на участках возможного встречного движения инвалидов на креслах-качалках не должна быть менее 1,8 м.</w:t>
      </w:r>
    </w:p>
    <w:p w:rsidR="009700D9" w:rsidRPr="00226E65" w:rsidRDefault="00F4237D" w:rsidP="009700D9">
      <w:pPr>
        <w:widowControl w:val="0"/>
        <w:spacing w:line="238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.1.13</w:t>
      </w:r>
      <w:r w:rsidR="009700D9" w:rsidRPr="00226E65">
        <w:t xml:space="preserve">. </w:t>
      </w:r>
      <w:r w:rsidR="009700D9" w:rsidRPr="008C1EB4">
        <w:t>Пешеходные переходы</w:t>
      </w:r>
      <w:r w:rsidR="009700D9" w:rsidRPr="00226E65">
        <w:t xml:space="preserve"> следует размещать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 или вне уровня проезжей части улицы (надземные и подземные).</w:t>
      </w:r>
    </w:p>
    <w:p w:rsidR="009700D9" w:rsidRPr="00226E65" w:rsidRDefault="009700D9" w:rsidP="009700D9">
      <w:pPr>
        <w:widowControl w:val="0"/>
        <w:spacing w:line="238" w:lineRule="auto"/>
        <w:ind w:firstLine="720"/>
        <w:jc w:val="both"/>
      </w:pPr>
      <w:r w:rsidRPr="00226E65">
        <w:t>Пешеходные переходы в одном уровне с проезжей частью (наземные) на магистральных улицах и дорогах регулируемого движения в пределах застроенной территории следует предусматривать с интервалом 200-300 м.</w:t>
      </w:r>
    </w:p>
    <w:p w:rsidR="009700D9" w:rsidRPr="00226E65" w:rsidRDefault="00F4237D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.1.14</w:t>
      </w:r>
      <w:r w:rsidR="009700D9" w:rsidRPr="00226E65"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9700D9" w:rsidRPr="00226E65" w:rsidRDefault="009700D9" w:rsidP="009700D9">
      <w:pPr>
        <w:pStyle w:val="1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226E65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9700D9" w:rsidRPr="00226E65" w:rsidRDefault="00F4237D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.1.15</w:t>
      </w:r>
      <w:r w:rsidR="009700D9" w:rsidRPr="00226E65">
        <w:t xml:space="preserve">. </w:t>
      </w:r>
      <w:r w:rsidR="009700D9" w:rsidRPr="008C1EB4">
        <w:t>Пересечения и примыкания дорог и улиц</w:t>
      </w:r>
      <w:r w:rsidR="009700D9" w:rsidRPr="00226E65">
        <w:t xml:space="preserve"> следует располагать на свободных площадках и на прямых участках пересекающихся или примыкающих дорог.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Пересечения и примыкания дорог в одном уровне независимо от схемы пересечений рекомендуется выполнять под прямым или близким к нему углом. В случаях, когда транспортные потоки не пересекаются, а разветвляются или сливаются, допускается устраивать пересечения дорог под любым углом с учетом обеспечения видимости.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«транспорт - транспорт» при скорости движения 40 и 60 км/ч должны быть соответственно не менее, м: 25 и 40. Для условий «пешеход – транспорт» размеры прямоугольного треугольника видимости должны быть при скорости движения транспорта 25 и 40 км/ч соответственно 8</w:t>
      </w:r>
      <w:r w:rsidRPr="00226E65">
        <w:sym w:font="Symbol" w:char="F0B4"/>
      </w:r>
      <w:r w:rsidRPr="00226E65">
        <w:t>40 и 10</w:t>
      </w:r>
      <w:r w:rsidRPr="00226E65">
        <w:sym w:font="Symbol" w:char="F0B4"/>
      </w:r>
      <w:r w:rsidRPr="00226E65">
        <w:t>50 м.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8C1EB4" w:rsidRDefault="008C1EB4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  <w:iCs/>
        </w:rPr>
      </w:pPr>
      <w:r>
        <w:rPr>
          <w:b/>
        </w:rPr>
        <w:t>3</w:t>
      </w:r>
      <w:r w:rsidR="009700D9" w:rsidRPr="00226E65">
        <w:rPr>
          <w:b/>
        </w:rPr>
        <w:t xml:space="preserve">.2. </w:t>
      </w:r>
      <w:r w:rsidR="009700D9" w:rsidRPr="00226E65">
        <w:rPr>
          <w:b/>
          <w:iCs/>
        </w:rPr>
        <w:t>Сооружения и устройства для хранения, парковки и обслуживания транспортных средств</w:t>
      </w:r>
    </w:p>
    <w:p w:rsidR="00F4237D" w:rsidRDefault="00F4237D" w:rsidP="009700D9">
      <w:pPr>
        <w:widowControl w:val="0"/>
        <w:ind w:firstLine="720"/>
        <w:jc w:val="both"/>
        <w:rPr>
          <w:b/>
        </w:rPr>
      </w:pPr>
    </w:p>
    <w:p w:rsidR="009700D9" w:rsidRPr="00226E65" w:rsidRDefault="00F4237D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.2.1</w:t>
      </w:r>
      <w:r w:rsidR="009700D9" w:rsidRPr="00226E65">
        <w:t xml:space="preserve">. В </w:t>
      </w:r>
      <w:r w:rsidR="00EF27BC">
        <w:t>населенных пунктах Района</w:t>
      </w:r>
      <w:r w:rsidR="00EF27BC" w:rsidRPr="00226E65">
        <w:t xml:space="preserve"> </w:t>
      </w:r>
      <w:r w:rsidR="009700D9" w:rsidRPr="00226E65">
        <w:t>по отдельному заданию в виде отдельной проектной стадии может разрабатываться схема размещения автостоянок и гаражей индивидуальных легковых автомобилей, в том числе и гаражей двойного назначения, а также схема комплексного освоения подземного пространства городского населенного пункта. На этих стадиях осуществляется дальнейшая детализация принципиальных решений, принятых в генеральном плане городского поселения</w:t>
      </w:r>
      <w:r w:rsidR="00EF27BC">
        <w:t>, сельского поселения</w:t>
      </w:r>
      <w:r w:rsidR="009700D9" w:rsidRPr="00226E65">
        <w:t xml:space="preserve"> и комплексной транспортной схеме с учетом совокупности конкретных градостроительных и природных условий отдельных районов </w:t>
      </w:r>
      <w:r w:rsidR="00EF27BC">
        <w:t>населенных пунктов Района</w:t>
      </w:r>
      <w:r w:rsidR="009700D9" w:rsidRPr="00226E65">
        <w:t xml:space="preserve">, определяются номенклатура, основные типы и другие параметры соответствующих объектов на расчетный срок, а также условия их размещения и </w:t>
      </w:r>
      <w:r w:rsidR="009700D9" w:rsidRPr="00226E65">
        <w:lastRenderedPageBreak/>
        <w:t>последовательность освоения территорий.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 xml:space="preserve">Состав и содержание схемы размещения гаражей и автостоянок легковых автомобилей приведены в приложении 2 регионального норматива градостроительного проектирования </w:t>
      </w:r>
      <w:r w:rsidRPr="00226E65">
        <w:rPr>
          <w:b/>
        </w:rPr>
        <w:t>«</w:t>
      </w:r>
      <w:r w:rsidRPr="00226E65"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226E65">
        <w:rPr>
          <w:b/>
        </w:rPr>
        <w:t>»</w:t>
      </w:r>
    </w:p>
    <w:p w:rsidR="009700D9" w:rsidRPr="00226E65" w:rsidRDefault="00F4237D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.2.2</w:t>
      </w:r>
      <w:r w:rsidR="009700D9" w:rsidRPr="00226E65">
        <w:t>. Сооружения для хранения, парковки и обслуживания легковых автомобилей следует размещать с соблюдением нормативных радиусов доступности от обслуживаемых объектов, с учетом требований эффективного использования городских территорий, с обеспечением экологической безопасности.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rPr>
          <w:bCs/>
        </w:rPr>
        <w:t xml:space="preserve">Противопожарные расстояния от автостоянок открытого и закрытого типа до соседних объектов следует определять в соответствии с требованиями </w:t>
      </w:r>
      <w:r w:rsidRPr="00226E65">
        <w:t xml:space="preserve">Федерального закона от 22.07.2008 г. № 123-ФЗ «Технический регламент о требованиях пожарной безопасности» и регионального норматива градостроительного проектирования </w:t>
      </w:r>
      <w:r w:rsidRPr="00226E65">
        <w:rPr>
          <w:b/>
        </w:rPr>
        <w:t>«</w:t>
      </w:r>
      <w:r w:rsidRPr="00226E65"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226E65">
        <w:rPr>
          <w:b/>
        </w:rPr>
        <w:t>»</w:t>
      </w:r>
      <w:r w:rsidRPr="00226E65">
        <w:t>.</w:t>
      </w:r>
    </w:p>
    <w:p w:rsidR="009700D9" w:rsidRPr="00226E65" w:rsidRDefault="00F4237D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.2.3</w:t>
      </w:r>
      <w:r w:rsidR="009700D9" w:rsidRPr="00226E65">
        <w:t xml:space="preserve">. Общая обеспеченность закрытыми и открытыми </w:t>
      </w:r>
      <w:r w:rsidR="009700D9" w:rsidRPr="008C1EB4">
        <w:t>автостоянками для постоянного хранения</w:t>
      </w:r>
      <w:r w:rsidR="009700D9" w:rsidRPr="00226E65">
        <w:t xml:space="preserve"> автомобилей должна быть не менее 90 % расчетного числа индивидуальных легковых автомобилей.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 xml:space="preserve"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</w:t>
      </w:r>
      <w:r w:rsidR="00EF27BC">
        <w:t>населенных пунктов Района</w:t>
      </w:r>
      <w:r w:rsidRPr="00226E65">
        <w:t>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мотоциклы и мотороллеры с колясками, мотоколяски – 0,5;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мотоциклы и мотороллеры без колясок – 0,25;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мопеды и велосипеды – 0,1.</w:t>
      </w:r>
    </w:p>
    <w:p w:rsidR="009700D9" w:rsidRPr="00226E65" w:rsidRDefault="009700D9" w:rsidP="009700D9">
      <w:pPr>
        <w:widowControl w:val="0"/>
        <w:adjustRightInd w:val="0"/>
        <w:ind w:firstLine="709"/>
        <w:jc w:val="both"/>
      </w:pPr>
      <w:r w:rsidRPr="00226E65">
        <w:t>Расчетное число машино-мест в зависимости от категории жилого фонда по уровню комфорта следует принимать в соответствии с таблицей 8</w:t>
      </w:r>
      <w:r w:rsidR="00BD4ED5">
        <w:t xml:space="preserve"> </w:t>
      </w:r>
      <w:r w:rsidR="00BD4ED5" w:rsidRPr="002C6F7E">
        <w:t>местных нормативов градостроительного проектирования</w:t>
      </w:r>
      <w:r w:rsidR="00BD4ED5">
        <w:t xml:space="preserve"> </w:t>
      </w:r>
      <w:r w:rsidR="00BD4ED5" w:rsidRPr="00226E65">
        <w:t xml:space="preserve">«Планировка </w:t>
      </w:r>
      <w:r w:rsidR="00BD4ED5">
        <w:t>жилых</w:t>
      </w:r>
      <w:r w:rsidR="00BD4ED5" w:rsidRPr="00226E65">
        <w:t xml:space="preserve"> зон населенных пунктов</w:t>
      </w:r>
      <w:r w:rsidR="00BD4ED5">
        <w:t xml:space="preserve"> Аннинского муниципального района Воронежской области</w:t>
      </w:r>
      <w:r w:rsidR="00BD4ED5" w:rsidRPr="00226E65">
        <w:t>»</w:t>
      </w:r>
      <w:r w:rsidRPr="00226E65">
        <w:t>.</w:t>
      </w: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.2.4.</w:t>
      </w:r>
      <w:r w:rsidR="00EF27BC">
        <w:rPr>
          <w:b/>
        </w:rPr>
        <w:t xml:space="preserve"> </w:t>
      </w:r>
      <w:r w:rsidR="009700D9" w:rsidRPr="00226E65"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Сооружения для постоянного хранения легковых автомобилей всех категорий следует проектировать: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.2.5.</w:t>
      </w:r>
      <w:r w:rsidR="009700D9" w:rsidRPr="00226E65"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4.</w:t>
      </w:r>
    </w:p>
    <w:p w:rsidR="009700D9" w:rsidRPr="00226E65" w:rsidRDefault="009700D9" w:rsidP="009700D9">
      <w:pPr>
        <w:pStyle w:val="ac"/>
        <w:widowControl w:val="0"/>
        <w:tabs>
          <w:tab w:val="left" w:pos="2540"/>
        </w:tabs>
        <w:spacing w:before="0" w:beforeAutospacing="0" w:after="0" w:afterAutospacing="0" w:line="239" w:lineRule="auto"/>
        <w:ind w:firstLine="709"/>
        <w:jc w:val="both"/>
      </w:pPr>
      <w:r w:rsidRPr="00226E65">
        <w:tab/>
      </w:r>
    </w:p>
    <w:p w:rsidR="00F4237D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p w:rsidR="00F4237D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p w:rsidR="00F4237D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p w:rsidR="00F4237D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p w:rsidR="00F4237D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p w:rsidR="00F4237D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p w:rsidR="009700D9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  <w:r w:rsidRPr="00226E65">
        <w:lastRenderedPageBreak/>
        <w:t>Таблица 4. Санитарные разрывы при размещении автостоянок</w:t>
      </w:r>
    </w:p>
    <w:p w:rsidR="00F4237D" w:rsidRPr="00226E65" w:rsidRDefault="00F4237D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175"/>
        <w:gridCol w:w="799"/>
        <w:gridCol w:w="957"/>
        <w:gridCol w:w="957"/>
        <w:gridCol w:w="771"/>
      </w:tblGrid>
      <w:tr w:rsidR="009700D9" w:rsidRPr="00226E65" w:rsidTr="009E636F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  <w:rPr>
                <w:b/>
              </w:rPr>
            </w:pPr>
            <w:r w:rsidRPr="00226E65">
              <w:rPr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Расстояние, </w:t>
            </w:r>
            <w:r w:rsidRPr="00226E65">
              <w:rPr>
                <w:rStyle w:val="grame"/>
                <w:b/>
              </w:rPr>
              <w:t>м</w:t>
            </w:r>
            <w:r w:rsidRPr="00226E65">
              <w:rPr>
                <w:b/>
              </w:rPr>
              <w:t>, не менее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 xml:space="preserve">Открытые автостоянки и паркинги </w:t>
            </w:r>
          </w:p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 xml:space="preserve">вместимостью, </w:t>
            </w:r>
            <w:r w:rsidRPr="00226E65">
              <w:rPr>
                <w:rStyle w:val="spelle"/>
              </w:rPr>
              <w:t>машино-мест</w:t>
            </w:r>
          </w:p>
        </w:tc>
      </w:tr>
      <w:tr w:rsidR="009700D9" w:rsidRPr="00226E65" w:rsidTr="009E636F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ind w:left="-57" w:right="-57"/>
              <w:jc w:val="center"/>
            </w:pPr>
            <w:r w:rsidRPr="00226E65"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ind w:left="-57" w:right="-57"/>
              <w:jc w:val="center"/>
            </w:pPr>
            <w:r w:rsidRPr="00226E65">
              <w:t>свыше 300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</w:pPr>
            <w:r w:rsidRPr="00226E65">
              <w:t xml:space="preserve">Фасады </w:t>
            </w:r>
            <w:r w:rsidRPr="00226E65">
              <w:rPr>
                <w:rStyle w:val="grame"/>
              </w:rPr>
              <w:t>жилых</w:t>
            </w:r>
            <w:r w:rsidRPr="00226E65"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</w:pPr>
            <w:r w:rsidRPr="00226E65">
              <w:rPr>
                <w:rStyle w:val="grame"/>
              </w:rPr>
              <w:t xml:space="preserve">Торцы жилых </w:t>
            </w:r>
            <w:r w:rsidRPr="00226E65">
              <w:t xml:space="preserve">зданий </w:t>
            </w:r>
            <w:r w:rsidRPr="00226E65">
              <w:rPr>
                <w:rStyle w:val="grame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35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  <w:rPr>
                <w:rStyle w:val="grame"/>
              </w:rPr>
            </w:pPr>
            <w:r w:rsidRPr="00226E65">
              <w:rPr>
                <w:rStyle w:val="grame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  <w:ind w:right="-57"/>
            </w:pPr>
            <w:r w:rsidRPr="00226E65"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  <w:ind w:right="-57"/>
            </w:pPr>
            <w:r w:rsidRPr="00226E65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uppressAutoHyphens/>
              <w:adjustRightInd w:val="0"/>
              <w:jc w:val="center"/>
            </w:pPr>
            <w:r w:rsidRPr="00226E65"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uppressAutoHyphens/>
              <w:adjustRightInd w:val="0"/>
              <w:jc w:val="center"/>
            </w:pPr>
            <w:r w:rsidRPr="00226E65"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uppressAutoHyphens/>
              <w:adjustRightInd w:val="0"/>
              <w:jc w:val="center"/>
            </w:pPr>
            <w:r w:rsidRPr="00226E65">
              <w:t>по расчету</w:t>
            </w:r>
          </w:p>
        </w:tc>
      </w:tr>
    </w:tbl>
    <w:p w:rsidR="009700D9" w:rsidRPr="00226E65" w:rsidRDefault="009700D9" w:rsidP="009700D9">
      <w:pPr>
        <w:pStyle w:val="ac"/>
        <w:widowControl w:val="0"/>
        <w:spacing w:before="120" w:beforeAutospacing="0" w:after="0" w:afterAutospacing="0" w:line="239" w:lineRule="auto"/>
        <w:ind w:firstLine="709"/>
        <w:jc w:val="both"/>
        <w:rPr>
          <w:i/>
          <w:spacing w:val="40"/>
        </w:rPr>
      </w:pPr>
      <w:r w:rsidRPr="00226E65">
        <w:rPr>
          <w:i/>
          <w:spacing w:val="40"/>
        </w:rPr>
        <w:t xml:space="preserve">Примечания: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i/>
        </w:rPr>
      </w:pPr>
      <w:r w:rsidRPr="00226E65">
        <w:rPr>
          <w:i/>
        </w:rPr>
        <w:t>1. Разрыв от наземных автостоянок,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i/>
        </w:rPr>
      </w:pPr>
      <w:r w:rsidRPr="00226E65">
        <w:rPr>
          <w:i/>
        </w:rPr>
        <w:t xml:space="preserve">2.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вместимостью более 300 машино-мест. 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  <w:rPr>
          <w:i/>
        </w:rPr>
      </w:pPr>
      <w:r w:rsidRPr="00226E65">
        <w:rPr>
          <w:i/>
        </w:rPr>
        <w:t>3. Разрывы, приведенные в таблице могут приниматься с учетом интерполяции.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</w:p>
    <w:p w:rsidR="009700D9" w:rsidRPr="00226E65" w:rsidRDefault="00F4237D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.2.6.</w:t>
      </w:r>
      <w:r w:rsidR="009700D9" w:rsidRPr="00226E65">
        <w:t xml:space="preserve"> В пределах жилых территорий и на придомовых территориях следует предусматривать открытые площадки (</w:t>
      </w:r>
      <w:r w:rsidR="009700D9" w:rsidRPr="008C1EB4">
        <w:t>гостевые автостоянки</w:t>
      </w:r>
      <w:r w:rsidR="009700D9" w:rsidRPr="00226E65">
        <w:t>) для парковки легковых автомобилей посетителей, из расчета 40 машино-мест на 1000 жителей, удаленные от подъездов обслуживаемых жилых зданий не более чем на 200 м.</w:t>
      </w:r>
    </w:p>
    <w:p w:rsidR="009700D9" w:rsidRPr="00226E65" w:rsidRDefault="00F4237D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.2.7.</w:t>
      </w:r>
      <w:r w:rsidR="009700D9" w:rsidRPr="00226E65">
        <w:t xml:space="preserve"> Открытые автостоянки </w:t>
      </w:r>
      <w:r w:rsidR="009700D9" w:rsidRPr="008C1EB4">
        <w:t>для временного хранения (парковки)</w:t>
      </w:r>
      <w:r w:rsidR="009700D9" w:rsidRPr="00226E65">
        <w:t xml:space="preserve"> легковых автомобилей следует предусматривать из расчета не менее чем для 70 % расчетного парка индивидуальных легковых автомобилей, в том числе  %: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жилые районы – 25;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производственные зоны – 25;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общегородские центры – 5;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- зоны массового кратковременного отдыха – 15.</w:t>
      </w:r>
    </w:p>
    <w:p w:rsidR="009700D9" w:rsidRPr="00226E65" w:rsidRDefault="00F4237D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.2.8.</w:t>
      </w:r>
      <w:r w:rsidR="009700D9" w:rsidRPr="00226E65">
        <w:t xml:space="preserve"> </w:t>
      </w:r>
      <w:r w:rsidR="009700D9" w:rsidRPr="00226E65">
        <w:rPr>
          <w:spacing w:val="-2"/>
        </w:rPr>
        <w:t xml:space="preserve">Требуемое расчетное количество машино-мест для парковки легковых автомобилей </w:t>
      </w:r>
      <w:r w:rsidR="009700D9" w:rsidRPr="00226E65">
        <w:t xml:space="preserve">на приобъектных стоянках у общественных зданий, учреждений, предприятий, вокзалов, на рекреационных территориях допускается определять в соответствии с рекомендуемой таблицей </w:t>
      </w:r>
      <w:r w:rsidR="007C45B2">
        <w:t>3</w:t>
      </w:r>
      <w:r w:rsidR="009700D9" w:rsidRPr="00226E65">
        <w:t xml:space="preserve"> </w:t>
      </w:r>
      <w:r w:rsidR="007C45B2" w:rsidRPr="002C6F7E">
        <w:t>местных нормативов градостроительного проектирования</w:t>
      </w:r>
      <w:r w:rsidR="007C45B2">
        <w:t xml:space="preserve"> </w:t>
      </w:r>
      <w:r w:rsidR="007C45B2" w:rsidRPr="00226E65">
        <w:t xml:space="preserve">«Планировка общественно-деловых зон населенных пунктов </w:t>
      </w:r>
      <w:r w:rsidR="007C45B2">
        <w:t>Аннинского муниципального района</w:t>
      </w:r>
      <w:r w:rsidR="00937A63">
        <w:t xml:space="preserve"> Воронежской области</w:t>
      </w:r>
      <w:r w:rsidR="007C45B2" w:rsidRPr="00226E65">
        <w:t>»</w:t>
      </w:r>
      <w:r w:rsidR="009700D9" w:rsidRPr="00226E65">
        <w:t>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На автостоянках, обслуживающих объекты посещения различного функционального назначения, следует выделять места для парковки личных автотранспортных средств, принадлежащих инвалидам</w:t>
      </w:r>
      <w:r w:rsidR="00EF27BC">
        <w:t>.</w:t>
      </w:r>
    </w:p>
    <w:p w:rsidR="009700D9" w:rsidRPr="00226E65" w:rsidRDefault="007C45B2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.2.9.</w:t>
      </w:r>
      <w:r w:rsidR="009700D9" w:rsidRPr="00226E65">
        <w:t xml:space="preserve">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Площадь участка для стоянки одного автотранспортного средства следует принимать на </w:t>
      </w:r>
      <w:r w:rsidRPr="00226E65">
        <w:lastRenderedPageBreak/>
        <w:t>одно машино-место, м</w:t>
      </w:r>
      <w:r w:rsidRPr="00226E65">
        <w:rPr>
          <w:vertAlign w:val="superscript"/>
        </w:rPr>
        <w:t>2</w:t>
      </w:r>
      <w:r w:rsidRPr="00226E65">
        <w:t>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легковых автомобилей – 25 (22,5)*;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грузовых автомобилей – 40;</w:t>
      </w:r>
    </w:p>
    <w:p w:rsidR="009700D9" w:rsidRPr="00226E65" w:rsidRDefault="009700D9" w:rsidP="009700D9">
      <w:pPr>
        <w:widowControl w:val="0"/>
        <w:ind w:firstLine="709"/>
        <w:jc w:val="both"/>
        <w:rPr>
          <w:i/>
        </w:rPr>
      </w:pPr>
      <w:r w:rsidRPr="00226E65">
        <w:t xml:space="preserve">- автобусов – 40;      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велосипедов – 0,9.</w:t>
      </w:r>
    </w:p>
    <w:p w:rsidR="009700D9" w:rsidRPr="00226E65" w:rsidRDefault="009700D9" w:rsidP="009700D9">
      <w:pPr>
        <w:widowControl w:val="0"/>
        <w:spacing w:before="120" w:after="120"/>
        <w:ind w:firstLine="709"/>
        <w:jc w:val="both"/>
        <w:rPr>
          <w:i/>
        </w:rPr>
      </w:pPr>
      <w:r w:rsidRPr="00226E65">
        <w:rPr>
          <w:i/>
        </w:rPr>
        <w:t>* В скобках – при примыкании участков для стоянки к проезжей части улиц и проездов.</w:t>
      </w:r>
    </w:p>
    <w:p w:rsidR="009700D9" w:rsidRPr="00226E65" w:rsidRDefault="007C45B2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.2.10</w:t>
      </w:r>
      <w:r w:rsidR="009700D9" w:rsidRPr="00226E65">
        <w:t>. Открытые наземные автостоянки проектируются в виде дополнительных полос на проезжей части и в пределах разделительных полос. Специальные полосы для стоянки автомобилей могут устраиваться вдоль основных проезжих частей местных и боковых проездов, жилых улиц, дорог в промышленных и коммунально-складских зонах, магистральных улиц с регулируемым движением транспорта.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Территория открытой автостоянки должна быть ограничена полосами зеленых насаждений шириной не менее 1 м, в стесненных условиях допускается ограничение стоянки сплошной линией разметки.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Ширина проездов на автостоянке при двухстороннем движении должна быть не менее 6 м, при одностороннем – не менее 3 м.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  <w:rPr>
          <w:b/>
        </w:rPr>
      </w:pPr>
    </w:p>
    <w:p w:rsidR="009700D9" w:rsidRPr="00226E65" w:rsidRDefault="007C45B2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.2.11</w:t>
      </w:r>
      <w:r w:rsidR="009700D9" w:rsidRPr="00226E65">
        <w:t xml:space="preserve">. </w:t>
      </w:r>
      <w:r w:rsidR="009700D9" w:rsidRPr="008C1EB4">
        <w:t>Объекты по техническому обслуживанию</w:t>
      </w:r>
      <w:r w:rsidR="009700D9" w:rsidRPr="00226E65"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5 постов – 0,5;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10 постов – 1,0;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15 постов – 1,5.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  <w:rPr>
          <w:spacing w:val="-2"/>
        </w:rPr>
      </w:pPr>
      <w:r w:rsidRPr="00226E65">
        <w:rPr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5.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center"/>
        <w:outlineLvl w:val="0"/>
      </w:pPr>
    </w:p>
    <w:p w:rsidR="009700D9" w:rsidRDefault="009700D9" w:rsidP="009700D9">
      <w:pPr>
        <w:widowControl w:val="0"/>
        <w:spacing w:line="239" w:lineRule="auto"/>
        <w:ind w:firstLine="720"/>
        <w:jc w:val="center"/>
        <w:outlineLvl w:val="0"/>
        <w:rPr>
          <w:spacing w:val="-2"/>
        </w:rPr>
      </w:pPr>
      <w:bookmarkStart w:id="6" w:name="_Toc297163265"/>
      <w:r w:rsidRPr="00226E65">
        <w:t xml:space="preserve">Таблица 5. </w:t>
      </w:r>
      <w:r w:rsidRPr="00226E65">
        <w:rPr>
          <w:spacing w:val="-2"/>
        </w:rPr>
        <w:t>Санитарные разрывы от объектов по обслуживанию автомобилей</w:t>
      </w:r>
      <w:bookmarkEnd w:id="6"/>
    </w:p>
    <w:p w:rsidR="007C45B2" w:rsidRPr="00226E65" w:rsidRDefault="007C45B2" w:rsidP="009700D9">
      <w:pPr>
        <w:widowControl w:val="0"/>
        <w:spacing w:line="239" w:lineRule="auto"/>
        <w:ind w:firstLine="720"/>
        <w:jc w:val="center"/>
        <w:outlineLvl w:val="0"/>
      </w:pPr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14"/>
        <w:gridCol w:w="2759"/>
      </w:tblGrid>
      <w:tr w:rsidR="009700D9" w:rsidRPr="00226E65" w:rsidTr="009E636F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  <w:rPr>
                <w:b/>
              </w:rPr>
            </w:pPr>
            <w:r w:rsidRPr="00226E65">
              <w:rPr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  <w:rPr>
                <w:b/>
              </w:rPr>
            </w:pPr>
            <w:r w:rsidRPr="00226E65">
              <w:rPr>
                <w:b/>
              </w:rPr>
              <w:t>Расстояние, м, не менее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spacing w:line="239" w:lineRule="auto"/>
              <w:ind w:left="85"/>
              <w:jc w:val="both"/>
            </w:pPr>
            <w:r w:rsidRPr="00226E65"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spacing w:line="239" w:lineRule="auto"/>
              <w:ind w:left="85"/>
              <w:jc w:val="both"/>
            </w:pPr>
            <w:r w:rsidRPr="00226E65"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100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</w:tcPr>
          <w:p w:rsidR="009700D9" w:rsidRPr="00226E65" w:rsidRDefault="009700D9" w:rsidP="009E636F">
            <w:pPr>
              <w:widowControl w:val="0"/>
              <w:spacing w:line="239" w:lineRule="auto"/>
              <w:ind w:left="85"/>
              <w:jc w:val="both"/>
            </w:pPr>
            <w:r w:rsidRPr="00226E65">
              <w:t>Грузовых автомобилей</w:t>
            </w:r>
          </w:p>
        </w:tc>
        <w:tc>
          <w:tcPr>
            <w:tcW w:w="2759" w:type="dxa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300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</w:tcPr>
          <w:p w:rsidR="009700D9" w:rsidRPr="00226E65" w:rsidRDefault="009700D9" w:rsidP="009E636F">
            <w:pPr>
              <w:widowControl w:val="0"/>
              <w:spacing w:line="239" w:lineRule="auto"/>
              <w:ind w:left="57"/>
            </w:pPr>
            <w:r w:rsidRPr="00226E65"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300</w:t>
            </w:r>
          </w:p>
        </w:tc>
      </w:tr>
    </w:tbl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700D9" w:rsidRPr="00226E65" w:rsidRDefault="007C45B2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.2.12</w:t>
      </w:r>
      <w:r w:rsidR="009700D9" w:rsidRPr="00226E65">
        <w:t xml:space="preserve">. </w:t>
      </w:r>
      <w:r w:rsidR="009700D9" w:rsidRPr="008C1EB4">
        <w:t>Автозаправочные станции</w:t>
      </w:r>
      <w:r w:rsidR="009700D9" w:rsidRPr="00226E65"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2 колонки – 0,1;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5 колонок – 0,2;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7 колонок – 0,3.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- автозаправочных станций для заправки грузового и легкового автотранспорта жидким </w:t>
      </w:r>
      <w:r w:rsidRPr="00226E65">
        <w:lastRenderedPageBreak/>
        <w:t>и газовым топливом – 100;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- </w:t>
      </w:r>
      <w:r w:rsidRPr="00226E65">
        <w:rPr>
          <w:spacing w:val="-2"/>
        </w:rPr>
        <w:t xml:space="preserve">автозаправочных станций </w:t>
      </w:r>
      <w:r w:rsidRPr="00226E65"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700D9" w:rsidRPr="00226E65" w:rsidRDefault="007C45B2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.2.13.</w:t>
      </w:r>
      <w:r w:rsidR="009700D9" w:rsidRPr="00226E65">
        <w:t xml:space="preserve"> </w:t>
      </w:r>
      <w:r w:rsidR="009700D9" w:rsidRPr="008C1EB4">
        <w:t>Моечные пункты</w:t>
      </w:r>
      <w:r w:rsidR="009700D9" w:rsidRPr="00226E65"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для моек автомобилей с количеством постов от 2 до 5 – 100;</w:t>
      </w:r>
    </w:p>
    <w:p w:rsidR="009700D9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26E65">
        <w:t>- для моек автомобилей до двух постов – 50.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7C45B2" w:rsidRPr="00EA7817" w:rsidRDefault="007C45B2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042304" w:rsidP="00591FFD">
      <w:pPr>
        <w:numPr>
          <w:ilvl w:val="0"/>
          <w:numId w:val="43"/>
        </w:numPr>
        <w:ind w:left="0" w:firstLine="709"/>
        <w:jc w:val="both"/>
      </w:pPr>
      <w:hyperlink r:id="rId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042304" w:rsidP="00591FFD">
      <w:pPr>
        <w:numPr>
          <w:ilvl w:val="0"/>
          <w:numId w:val="43"/>
        </w:numPr>
        <w:ind w:left="0" w:firstLine="709"/>
        <w:jc w:val="both"/>
      </w:pPr>
      <w:hyperlink r:id="rId9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042304" w:rsidP="00591FFD">
      <w:pPr>
        <w:numPr>
          <w:ilvl w:val="0"/>
          <w:numId w:val="42"/>
        </w:numPr>
        <w:ind w:left="0" w:firstLine="709"/>
        <w:jc w:val="both"/>
      </w:pPr>
      <w:hyperlink r:id="rId10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7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8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64C95">
        <w:rPr>
          <w:rFonts w:ascii="Times New Roman" w:hAnsi="Times New Roman" w:cs="Times New Roman"/>
          <w:sz w:val="24"/>
          <w:szCs w:val="24"/>
        </w:rPr>
        <w:t xml:space="preserve"> (сельского)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277842805"/>
      <w:bookmarkStart w:id="11" w:name="_Toc277843043"/>
      <w:bookmarkStart w:id="12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0"/>
      <w:bookmarkEnd w:id="11"/>
      <w:bookmarkEnd w:id="12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C0" w:rsidRDefault="000248C0" w:rsidP="009700D9">
      <w:r>
        <w:separator/>
      </w:r>
    </w:p>
  </w:endnote>
  <w:endnote w:type="continuationSeparator" w:id="1">
    <w:p w:rsidR="000248C0" w:rsidRDefault="000248C0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F7595A" w:rsidRDefault="00F7595A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D4ED5" w:rsidRPr="00BD4ED5">
            <w:rPr>
              <w:rFonts w:asciiTheme="majorHAnsi" w:hAnsiTheme="majorHAnsi"/>
              <w:noProof/>
              <w:sz w:val="28"/>
              <w:szCs w:val="28"/>
            </w:rPr>
            <w:t>16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F7595A" w:rsidRDefault="00F75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C0" w:rsidRDefault="000248C0" w:rsidP="009700D9">
      <w:r>
        <w:separator/>
      </w:r>
    </w:p>
  </w:footnote>
  <w:footnote w:type="continuationSeparator" w:id="1">
    <w:p w:rsidR="000248C0" w:rsidRDefault="000248C0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248C0"/>
    <w:rsid w:val="000355E6"/>
    <w:rsid w:val="00042304"/>
    <w:rsid w:val="000E4C97"/>
    <w:rsid w:val="00117BF8"/>
    <w:rsid w:val="00122212"/>
    <w:rsid w:val="001359F0"/>
    <w:rsid w:val="002017CF"/>
    <w:rsid w:val="002C6235"/>
    <w:rsid w:val="002D43FD"/>
    <w:rsid w:val="002E1F29"/>
    <w:rsid w:val="00337A2F"/>
    <w:rsid w:val="00340AED"/>
    <w:rsid w:val="00364C95"/>
    <w:rsid w:val="00384E4F"/>
    <w:rsid w:val="00387678"/>
    <w:rsid w:val="003907E9"/>
    <w:rsid w:val="003F47A1"/>
    <w:rsid w:val="00412850"/>
    <w:rsid w:val="00415CF7"/>
    <w:rsid w:val="00425B09"/>
    <w:rsid w:val="00435C28"/>
    <w:rsid w:val="004558E5"/>
    <w:rsid w:val="00502E97"/>
    <w:rsid w:val="005245DC"/>
    <w:rsid w:val="005262ED"/>
    <w:rsid w:val="00530CD1"/>
    <w:rsid w:val="00552EB9"/>
    <w:rsid w:val="0055701C"/>
    <w:rsid w:val="00583664"/>
    <w:rsid w:val="00586D6A"/>
    <w:rsid w:val="00591FFD"/>
    <w:rsid w:val="00606ADD"/>
    <w:rsid w:val="006400EB"/>
    <w:rsid w:val="006550E3"/>
    <w:rsid w:val="006D29BC"/>
    <w:rsid w:val="0070033C"/>
    <w:rsid w:val="00745615"/>
    <w:rsid w:val="00761705"/>
    <w:rsid w:val="00785EB6"/>
    <w:rsid w:val="007A12CA"/>
    <w:rsid w:val="007B7F3B"/>
    <w:rsid w:val="007C45B2"/>
    <w:rsid w:val="00813BBB"/>
    <w:rsid w:val="008207ED"/>
    <w:rsid w:val="008226B5"/>
    <w:rsid w:val="00833677"/>
    <w:rsid w:val="00843C92"/>
    <w:rsid w:val="00886F90"/>
    <w:rsid w:val="00894A26"/>
    <w:rsid w:val="008B59AE"/>
    <w:rsid w:val="008C1EB4"/>
    <w:rsid w:val="008E3EB6"/>
    <w:rsid w:val="008F1A7F"/>
    <w:rsid w:val="0091233C"/>
    <w:rsid w:val="00916306"/>
    <w:rsid w:val="00922285"/>
    <w:rsid w:val="009375B5"/>
    <w:rsid w:val="00937A63"/>
    <w:rsid w:val="009700D9"/>
    <w:rsid w:val="009A68E9"/>
    <w:rsid w:val="009E3F1B"/>
    <w:rsid w:val="009E636F"/>
    <w:rsid w:val="00A21D9B"/>
    <w:rsid w:val="00AB3D3B"/>
    <w:rsid w:val="00AD01CD"/>
    <w:rsid w:val="00AF2682"/>
    <w:rsid w:val="00AF7B72"/>
    <w:rsid w:val="00B02D8F"/>
    <w:rsid w:val="00B74579"/>
    <w:rsid w:val="00B76FA9"/>
    <w:rsid w:val="00BA564C"/>
    <w:rsid w:val="00BD4ED5"/>
    <w:rsid w:val="00C07E18"/>
    <w:rsid w:val="00C16C3D"/>
    <w:rsid w:val="00C37B7A"/>
    <w:rsid w:val="00D109C9"/>
    <w:rsid w:val="00D22D67"/>
    <w:rsid w:val="00D378F2"/>
    <w:rsid w:val="00D7795B"/>
    <w:rsid w:val="00E24822"/>
    <w:rsid w:val="00E91CDB"/>
    <w:rsid w:val="00EA7817"/>
    <w:rsid w:val="00EC2ED2"/>
    <w:rsid w:val="00ED41BF"/>
    <w:rsid w:val="00EF0706"/>
    <w:rsid w:val="00EF27BC"/>
    <w:rsid w:val="00F34B29"/>
    <w:rsid w:val="00F4237D"/>
    <w:rsid w:val="00F46DE6"/>
    <w:rsid w:val="00F75270"/>
    <w:rsid w:val="00F7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90788F29A28CC803817A814F4A6F3D5184F6KB4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281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2A9B-CC83-40AC-8C7D-2A80080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8710</Words>
  <Characters>49650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2014-11-17T12:04:00Z</dcterms:created>
  <dcterms:modified xsi:type="dcterms:W3CDTF">2014-11-18T09:54:00Z</dcterms:modified>
</cp:coreProperties>
</file>