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0A5111" w:rsidRPr="000A5111">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83334B">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83334B">
        <w:rPr>
          <w:rFonts w:ascii="Times New Roman" w:eastAsia="Andale Sans UI" w:hAnsi="Times New Roman"/>
          <w:kern w:val="1"/>
          <w:sz w:val="28"/>
          <w:szCs w:val="28"/>
          <w:u w:val="single"/>
        </w:rPr>
        <w:t>646</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C0A5F">
        <w:rPr>
          <w:rFonts w:ascii="Times New Roman" w:hAnsi="Times New Roman" w:cs="Times New Roman"/>
          <w:sz w:val="28"/>
          <w:szCs w:val="28"/>
        </w:rPr>
        <w:t xml:space="preserve"> от 1</w:t>
      </w:r>
      <w:r w:rsidR="004D34A6">
        <w:rPr>
          <w:rFonts w:ascii="Times New Roman" w:hAnsi="Times New Roman" w:cs="Times New Roman"/>
          <w:sz w:val="28"/>
          <w:szCs w:val="28"/>
        </w:rPr>
        <w:t>6</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072756">
        <w:rPr>
          <w:rFonts w:ascii="Times New Roman" w:hAnsi="Times New Roman" w:cs="Times New Roman"/>
          <w:sz w:val="28"/>
          <w:szCs w:val="28"/>
        </w:rPr>
        <w:t>70</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83334B">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83334B">
        <w:rPr>
          <w:rFonts w:ascii="Times New Roman" w:hAnsi="Times New Roman" w:cs="Times New Roman"/>
          <w:sz w:val="28"/>
          <w:szCs w:val="28"/>
        </w:rPr>
        <w:t>646</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83334B">
        <w:rPr>
          <w:rFonts w:ascii="Times New Roman" w:hAnsi="Times New Roman" w:cs="Times New Roman"/>
          <w:sz w:val="28"/>
          <w:szCs w:val="28"/>
        </w:rPr>
        <w:t xml:space="preserve">от </w:t>
      </w:r>
      <w:r w:rsidR="0083334B">
        <w:rPr>
          <w:rFonts w:ascii="Times New Roman" w:hAnsi="Times New Roman" w:cs="Times New Roman"/>
          <w:sz w:val="28"/>
          <w:szCs w:val="28"/>
        </w:rPr>
        <w:t>05.10.</w:t>
      </w:r>
      <w:r w:rsidR="00BF22ED" w:rsidRPr="0083334B">
        <w:rPr>
          <w:rFonts w:ascii="Times New Roman" w:hAnsi="Times New Roman" w:cs="Times New Roman"/>
          <w:sz w:val="28"/>
          <w:szCs w:val="28"/>
        </w:rPr>
        <w:t>2017 года</w:t>
      </w:r>
      <w:r w:rsidRPr="0083334B">
        <w:rPr>
          <w:rFonts w:ascii="Times New Roman" w:hAnsi="Times New Roman" w:cs="Times New Roman"/>
          <w:sz w:val="28"/>
          <w:szCs w:val="28"/>
        </w:rPr>
        <w:t xml:space="preserve"> № </w:t>
      </w:r>
      <w:r w:rsidR="0083334B">
        <w:rPr>
          <w:rFonts w:ascii="Times New Roman" w:hAnsi="Times New Roman" w:cs="Times New Roman"/>
          <w:sz w:val="28"/>
          <w:szCs w:val="28"/>
        </w:rPr>
        <w:t>646</w:t>
      </w:r>
      <w:r w:rsidR="00070305" w:rsidRPr="0083334B">
        <w:rPr>
          <w:rFonts w:ascii="Times New Roman" w:hAnsi="Times New Roman" w:cs="Times New Roman"/>
          <w:sz w:val="28"/>
          <w:szCs w:val="28"/>
        </w:rPr>
        <w:t xml:space="preserve"> </w:t>
      </w:r>
      <w:r w:rsidRPr="0083334B">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072756"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072756" w:rsidRPr="00072756">
        <w:rPr>
          <w:rFonts w:ascii="Times New Roman" w:hAnsi="Times New Roman"/>
          <w:kern w:val="2"/>
          <w:sz w:val="28"/>
          <w:szCs w:val="28"/>
        </w:rPr>
        <w:t>Воронежская область, р-н Аннинский, Краснологское сельское  поселение, в границах СХА «Краснологская», северная часть кадастрового квартала 36:01:0740002</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072756" w:rsidRPr="00072756">
        <w:rPr>
          <w:rFonts w:ascii="Times New Roman" w:hAnsi="Times New Roman"/>
          <w:kern w:val="2"/>
          <w:sz w:val="28"/>
          <w:szCs w:val="28"/>
        </w:rPr>
        <w:t>749524</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072756">
        <w:rPr>
          <w:rFonts w:ascii="Times New Roman" w:hAnsi="Times New Roman"/>
          <w:kern w:val="2"/>
          <w:sz w:val="28"/>
          <w:szCs w:val="28"/>
        </w:rPr>
        <w:t>4</w:t>
      </w:r>
      <w:r w:rsidR="001937CA">
        <w:rPr>
          <w:rFonts w:ascii="Times New Roman" w:hAnsi="Times New Roman"/>
          <w:kern w:val="2"/>
          <w:sz w:val="28"/>
          <w:szCs w:val="28"/>
        </w:rPr>
        <w:t>000</w:t>
      </w:r>
      <w:r w:rsidR="00072756">
        <w:rPr>
          <w:rFonts w:ascii="Times New Roman" w:hAnsi="Times New Roman"/>
          <w:kern w:val="2"/>
          <w:sz w:val="28"/>
          <w:szCs w:val="28"/>
        </w:rPr>
        <w:t>2</w:t>
      </w:r>
      <w:r w:rsidR="00ED136C" w:rsidRPr="00ED136C">
        <w:rPr>
          <w:rFonts w:ascii="Times New Roman" w:hAnsi="Times New Roman"/>
          <w:kern w:val="2"/>
          <w:sz w:val="28"/>
          <w:szCs w:val="28"/>
        </w:rPr>
        <w:t>:</w:t>
      </w:r>
      <w:r w:rsidR="00072756">
        <w:rPr>
          <w:rFonts w:ascii="Times New Roman" w:hAnsi="Times New Roman"/>
          <w:kern w:val="2"/>
          <w:sz w:val="28"/>
          <w:szCs w:val="28"/>
        </w:rPr>
        <w:t>96</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72756">
        <w:rPr>
          <w:rFonts w:ascii="Times New Roman" w:hAnsi="Times New Roman" w:cs="Times New Roman"/>
          <w:sz w:val="28"/>
          <w:szCs w:val="28"/>
        </w:rPr>
        <w:t xml:space="preserve"> </w:t>
      </w:r>
      <w:r w:rsidR="00072756" w:rsidRPr="00072756">
        <w:rPr>
          <w:rFonts w:ascii="Times New Roman" w:hAnsi="Times New Roman" w:cs="Times New Roman"/>
          <w:b/>
          <w:sz w:val="28"/>
          <w:szCs w:val="28"/>
        </w:rPr>
        <w:t>299 810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sidRPr="00072756">
        <w:rPr>
          <w:rFonts w:ascii="Times New Roman" w:hAnsi="Times New Roman" w:cs="Times New Roman"/>
          <w:b/>
          <w:sz w:val="28"/>
          <w:szCs w:val="28"/>
        </w:rPr>
        <w:t>0</w:t>
      </w:r>
      <w:r w:rsidRPr="00072756">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072756">
        <w:rPr>
          <w:rFonts w:ascii="Times New Roman" w:hAnsi="Times New Roman" w:cs="Times New Roman"/>
          <w:sz w:val="28"/>
          <w:szCs w:val="28"/>
        </w:rPr>
        <w:t>Двести девяносто девять</w:t>
      </w:r>
      <w:r w:rsidR="00BF358D">
        <w:rPr>
          <w:rFonts w:ascii="Times New Roman" w:hAnsi="Times New Roman" w:cs="Times New Roman"/>
          <w:sz w:val="28"/>
          <w:szCs w:val="28"/>
        </w:rPr>
        <w:t xml:space="preserve"> тысяч </w:t>
      </w:r>
      <w:r w:rsidR="00072756">
        <w:rPr>
          <w:rFonts w:ascii="Times New Roman" w:hAnsi="Times New Roman" w:cs="Times New Roman"/>
          <w:sz w:val="28"/>
          <w:szCs w:val="28"/>
        </w:rPr>
        <w:t xml:space="preserve">восемьсот десять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072756">
        <w:rPr>
          <w:rFonts w:ascii="Times New Roman" w:hAnsi="Times New Roman"/>
          <w:sz w:val="28"/>
          <w:szCs w:val="28"/>
        </w:rPr>
        <w:t>550</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2F12C8" w:rsidRPr="002F12C8">
        <w:rPr>
          <w:rFonts w:ascii="Times New Roman" w:hAnsi="Times New Roman" w:cs="Times New Roman"/>
          <w:b/>
          <w:sz w:val="28"/>
          <w:szCs w:val="28"/>
        </w:rPr>
        <w:t>8 994</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F12C8">
        <w:rPr>
          <w:rFonts w:ascii="Times New Roman" w:hAnsi="Times New Roman" w:cs="Times New Roman"/>
          <w:sz w:val="28"/>
          <w:szCs w:val="28"/>
        </w:rPr>
        <w:t>я</w:t>
      </w:r>
      <w:r>
        <w:rPr>
          <w:rFonts w:ascii="Times New Roman" w:hAnsi="Times New Roman" w:cs="Times New Roman"/>
          <w:sz w:val="28"/>
          <w:szCs w:val="28"/>
        </w:rPr>
        <w:t xml:space="preserve"> </w:t>
      </w:r>
      <w:r w:rsidR="002F12C8">
        <w:rPr>
          <w:rFonts w:ascii="Times New Roman" w:hAnsi="Times New Roman" w:cs="Times New Roman"/>
          <w:b/>
          <w:sz w:val="28"/>
          <w:szCs w:val="28"/>
        </w:rPr>
        <w:t>3</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2F12C8">
        <w:rPr>
          <w:rFonts w:ascii="Times New Roman" w:hAnsi="Times New Roman" w:cs="Times New Roman"/>
          <w:sz w:val="28"/>
          <w:szCs w:val="28"/>
        </w:rPr>
        <w:t>Восемь</w:t>
      </w:r>
      <w:r w:rsidR="00BF358D">
        <w:rPr>
          <w:rFonts w:ascii="Times New Roman" w:hAnsi="Times New Roman" w:cs="Times New Roman"/>
          <w:sz w:val="28"/>
          <w:szCs w:val="28"/>
        </w:rPr>
        <w:t xml:space="preserve"> тысяч д</w:t>
      </w:r>
      <w:r w:rsidR="002F12C8">
        <w:rPr>
          <w:rFonts w:ascii="Times New Roman" w:hAnsi="Times New Roman" w:cs="Times New Roman"/>
          <w:sz w:val="28"/>
          <w:szCs w:val="28"/>
        </w:rPr>
        <w:t xml:space="preserve">евятьсот </w:t>
      </w:r>
      <w:r w:rsidR="00BF358D">
        <w:rPr>
          <w:rFonts w:ascii="Times New Roman" w:hAnsi="Times New Roman" w:cs="Times New Roman"/>
          <w:sz w:val="28"/>
          <w:szCs w:val="28"/>
        </w:rPr>
        <w:t xml:space="preserve"> девя</w:t>
      </w:r>
      <w:r w:rsidR="002F12C8">
        <w:rPr>
          <w:rFonts w:ascii="Times New Roman" w:hAnsi="Times New Roman" w:cs="Times New Roman"/>
          <w:sz w:val="28"/>
          <w:szCs w:val="28"/>
        </w:rPr>
        <w:t xml:space="preserve">носто четыре </w:t>
      </w:r>
      <w:r>
        <w:rPr>
          <w:rFonts w:ascii="Times New Roman" w:hAnsi="Times New Roman" w:cs="Times New Roman"/>
          <w:sz w:val="28"/>
          <w:szCs w:val="28"/>
        </w:rPr>
        <w:t xml:space="preserve"> рубл</w:t>
      </w:r>
      <w:r w:rsidR="002F12C8">
        <w:rPr>
          <w:rFonts w:ascii="Times New Roman" w:hAnsi="Times New Roman" w:cs="Times New Roman"/>
          <w:sz w:val="28"/>
          <w:szCs w:val="28"/>
        </w:rPr>
        <w:t>я</w:t>
      </w:r>
      <w:r>
        <w:rPr>
          <w:rFonts w:ascii="Times New Roman" w:hAnsi="Times New Roman" w:cs="Times New Roman"/>
          <w:sz w:val="28"/>
          <w:szCs w:val="28"/>
        </w:rPr>
        <w:t xml:space="preserve"> </w:t>
      </w:r>
      <w:r w:rsidR="002F12C8">
        <w:rPr>
          <w:rFonts w:ascii="Times New Roman" w:hAnsi="Times New Roman" w:cs="Times New Roman"/>
          <w:sz w:val="28"/>
          <w:szCs w:val="28"/>
        </w:rPr>
        <w:t>3</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83334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83334B">
        <w:rPr>
          <w:rFonts w:ascii="Times New Roman" w:hAnsi="Times New Roman" w:cs="Times New Roman"/>
          <w:b/>
          <w:bCs/>
          <w:sz w:val="28"/>
          <w:szCs w:val="28"/>
        </w:rPr>
        <w:t>аукционе</w:t>
      </w:r>
      <w:r w:rsidRPr="0083334B">
        <w:rPr>
          <w:rFonts w:ascii="Times New Roman" w:hAnsi="Times New Roman" w:cs="Times New Roman"/>
          <w:sz w:val="28"/>
          <w:szCs w:val="28"/>
        </w:rPr>
        <w:t>:</w:t>
      </w:r>
      <w:r w:rsidR="00F75F88" w:rsidRPr="0083334B">
        <w:rPr>
          <w:rFonts w:ascii="Times New Roman" w:hAnsi="Times New Roman" w:cs="Times New Roman"/>
          <w:sz w:val="28"/>
          <w:szCs w:val="28"/>
        </w:rPr>
        <w:t xml:space="preserve"> </w:t>
      </w:r>
      <w:r w:rsidR="0083334B">
        <w:rPr>
          <w:rFonts w:ascii="Times New Roman" w:hAnsi="Times New Roman" w:cs="Times New Roman"/>
          <w:sz w:val="28"/>
          <w:szCs w:val="28"/>
        </w:rPr>
        <w:t>13.</w:t>
      </w:r>
      <w:r w:rsidR="001937CA" w:rsidRPr="0083334B">
        <w:rPr>
          <w:rFonts w:ascii="Times New Roman" w:hAnsi="Times New Roman" w:cs="Times New Roman"/>
          <w:sz w:val="28"/>
          <w:szCs w:val="28"/>
        </w:rPr>
        <w:t>10.</w:t>
      </w:r>
      <w:r w:rsidR="00BF22ED" w:rsidRPr="0083334B">
        <w:rPr>
          <w:rFonts w:ascii="Times New Roman" w:hAnsi="Times New Roman" w:cs="Times New Roman"/>
          <w:sz w:val="28"/>
          <w:szCs w:val="28"/>
        </w:rPr>
        <w:t>2017 года</w:t>
      </w:r>
    </w:p>
    <w:p w:rsidR="00CC4C1B" w:rsidRPr="0083334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83334B">
        <w:rPr>
          <w:rFonts w:ascii="Times New Roman" w:hAnsi="Times New Roman" w:cs="Times New Roman"/>
          <w:b/>
          <w:bCs/>
          <w:sz w:val="28"/>
          <w:szCs w:val="28"/>
        </w:rPr>
        <w:t>Дата окончания срока приема заявок на участие в аукционе</w:t>
      </w:r>
      <w:r w:rsidRPr="0083334B">
        <w:rPr>
          <w:rFonts w:ascii="Times New Roman" w:hAnsi="Times New Roman" w:cs="Times New Roman"/>
          <w:sz w:val="28"/>
          <w:szCs w:val="28"/>
        </w:rPr>
        <w:t>:</w:t>
      </w:r>
      <w:r w:rsidR="00F75F88" w:rsidRPr="0083334B">
        <w:rPr>
          <w:rFonts w:ascii="Times New Roman" w:hAnsi="Times New Roman" w:cs="Times New Roman"/>
          <w:sz w:val="28"/>
          <w:szCs w:val="28"/>
        </w:rPr>
        <w:t xml:space="preserve"> </w:t>
      </w:r>
      <w:r w:rsidR="0083334B">
        <w:rPr>
          <w:rFonts w:ascii="Times New Roman" w:hAnsi="Times New Roman" w:cs="Times New Roman"/>
          <w:sz w:val="28"/>
          <w:szCs w:val="28"/>
        </w:rPr>
        <w:t>09</w:t>
      </w:r>
      <w:r w:rsidR="00091208" w:rsidRPr="0083334B">
        <w:rPr>
          <w:rFonts w:ascii="Times New Roman" w:hAnsi="Times New Roman" w:cs="Times New Roman"/>
          <w:sz w:val="28"/>
          <w:szCs w:val="28"/>
        </w:rPr>
        <w:t>.1</w:t>
      </w:r>
      <w:r w:rsidR="001937CA" w:rsidRPr="0083334B">
        <w:rPr>
          <w:rFonts w:ascii="Times New Roman" w:hAnsi="Times New Roman" w:cs="Times New Roman"/>
          <w:sz w:val="28"/>
          <w:szCs w:val="28"/>
        </w:rPr>
        <w:t>1</w:t>
      </w:r>
      <w:r w:rsidR="00091208" w:rsidRPr="0083334B">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72756" w:rsidRPr="00072756">
        <w:rPr>
          <w:rFonts w:ascii="Times New Roman" w:hAnsi="Times New Roman" w:cs="Times New Roman"/>
          <w:b/>
          <w:sz w:val="28"/>
          <w:szCs w:val="28"/>
        </w:rPr>
        <w:t>299 810</w:t>
      </w:r>
      <w:r w:rsidR="00072756">
        <w:rPr>
          <w:rFonts w:ascii="Times New Roman" w:hAnsi="Times New Roman" w:cs="Times New Roman"/>
          <w:sz w:val="28"/>
          <w:szCs w:val="28"/>
        </w:rPr>
        <w:t xml:space="preserve"> рубля </w:t>
      </w:r>
      <w:r w:rsidR="00072756" w:rsidRPr="00072756">
        <w:rPr>
          <w:rFonts w:ascii="Times New Roman" w:hAnsi="Times New Roman" w:cs="Times New Roman"/>
          <w:b/>
          <w:sz w:val="28"/>
          <w:szCs w:val="28"/>
        </w:rPr>
        <w:t>00</w:t>
      </w:r>
      <w:r w:rsidR="00072756" w:rsidRPr="000A59E5">
        <w:rPr>
          <w:rFonts w:ascii="Times New Roman" w:hAnsi="Times New Roman" w:cs="Times New Roman"/>
          <w:sz w:val="28"/>
          <w:szCs w:val="28"/>
        </w:rPr>
        <w:t xml:space="preserve"> копеек  (</w:t>
      </w:r>
      <w:r w:rsidR="00072756">
        <w:rPr>
          <w:rFonts w:ascii="Times New Roman" w:hAnsi="Times New Roman" w:cs="Times New Roman"/>
          <w:sz w:val="28"/>
          <w:szCs w:val="28"/>
        </w:rPr>
        <w:t>Двести девяносто девять тысяч восемьсот десять рублей 00</w:t>
      </w:r>
      <w:r w:rsidR="00072756"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83334B">
        <w:rPr>
          <w:rFonts w:ascii="Times New Roman" w:hAnsi="Times New Roman" w:cs="Times New Roman"/>
          <w:sz w:val="28"/>
          <w:szCs w:val="28"/>
        </w:rPr>
        <w:t>– до</w:t>
      </w:r>
      <w:r w:rsidR="00EA2A2B" w:rsidRPr="0083334B">
        <w:rPr>
          <w:rFonts w:ascii="Times New Roman" w:hAnsi="Times New Roman" w:cs="Times New Roman"/>
          <w:sz w:val="28"/>
          <w:szCs w:val="28"/>
        </w:rPr>
        <w:t xml:space="preserve"> </w:t>
      </w:r>
      <w:r w:rsidR="0083334B">
        <w:rPr>
          <w:rFonts w:ascii="Times New Roman" w:hAnsi="Times New Roman" w:cs="Times New Roman"/>
          <w:sz w:val="28"/>
          <w:szCs w:val="28"/>
        </w:rPr>
        <w:t>09</w:t>
      </w:r>
      <w:r w:rsidR="007F675F" w:rsidRPr="0083334B">
        <w:rPr>
          <w:rFonts w:ascii="Times New Roman" w:hAnsi="Times New Roman" w:cs="Times New Roman"/>
          <w:sz w:val="28"/>
          <w:szCs w:val="28"/>
        </w:rPr>
        <w:t>.1</w:t>
      </w:r>
      <w:r w:rsidR="00EA2A2B" w:rsidRPr="0083334B">
        <w:rPr>
          <w:rFonts w:ascii="Times New Roman" w:hAnsi="Times New Roman" w:cs="Times New Roman"/>
          <w:sz w:val="28"/>
          <w:szCs w:val="28"/>
        </w:rPr>
        <w:t>1</w:t>
      </w:r>
      <w:r w:rsidR="007F675F" w:rsidRPr="0083334B">
        <w:rPr>
          <w:rFonts w:ascii="Times New Roman" w:hAnsi="Times New Roman" w:cs="Times New Roman"/>
          <w:sz w:val="28"/>
          <w:szCs w:val="28"/>
        </w:rPr>
        <w:t>.2017</w:t>
      </w:r>
      <w:r w:rsidRPr="0083334B">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83334B">
        <w:rPr>
          <w:rFonts w:ascii="Times New Roman" w:hAnsi="Times New Roman" w:cs="Times New Roman"/>
          <w:sz w:val="28"/>
          <w:szCs w:val="28"/>
        </w:rPr>
        <w:t>)</w:t>
      </w:r>
      <w:r w:rsidR="00C9587F" w:rsidRPr="0083334B">
        <w:rPr>
          <w:rFonts w:ascii="Times New Roman" w:hAnsi="Times New Roman" w:cs="Times New Roman"/>
          <w:sz w:val="28"/>
          <w:szCs w:val="28"/>
        </w:rPr>
        <w:t xml:space="preserve">, </w:t>
      </w:r>
      <w:r w:rsidR="0083334B">
        <w:rPr>
          <w:rFonts w:ascii="Times New Roman" w:hAnsi="Times New Roman" w:cs="Times New Roman"/>
          <w:sz w:val="28"/>
          <w:szCs w:val="28"/>
        </w:rPr>
        <w:t>09</w:t>
      </w:r>
      <w:r w:rsidR="007F675F" w:rsidRPr="0083334B">
        <w:rPr>
          <w:rFonts w:ascii="Times New Roman" w:hAnsi="Times New Roman" w:cs="Times New Roman"/>
          <w:sz w:val="28"/>
          <w:szCs w:val="28"/>
        </w:rPr>
        <w:t>.1</w:t>
      </w:r>
      <w:r w:rsidR="00EA2A2B" w:rsidRPr="0083334B">
        <w:rPr>
          <w:rFonts w:ascii="Times New Roman" w:hAnsi="Times New Roman" w:cs="Times New Roman"/>
          <w:sz w:val="28"/>
          <w:szCs w:val="28"/>
        </w:rPr>
        <w:t>1</w:t>
      </w:r>
      <w:r w:rsidR="007F675F" w:rsidRPr="0083334B">
        <w:rPr>
          <w:rFonts w:ascii="Times New Roman" w:hAnsi="Times New Roman" w:cs="Times New Roman"/>
          <w:sz w:val="28"/>
          <w:szCs w:val="28"/>
        </w:rPr>
        <w:t>.2017</w:t>
      </w:r>
      <w:r w:rsidRPr="0083334B">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lastRenderedPageBreak/>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3334B">
        <w:rPr>
          <w:rFonts w:ascii="Times New Roman" w:hAnsi="Times New Roman" w:cs="Times New Roman"/>
          <w:sz w:val="28"/>
          <w:szCs w:val="28"/>
        </w:rPr>
        <w:t>20</w:t>
      </w:r>
      <w:r w:rsidRPr="0083334B">
        <w:rPr>
          <w:rFonts w:ascii="Times New Roman" w:hAnsi="Times New Roman" w:cs="Times New Roman"/>
          <w:sz w:val="28"/>
          <w:szCs w:val="28"/>
        </w:rPr>
        <w:t xml:space="preserve">) </w:t>
      </w:r>
      <w:r w:rsidR="0083334B">
        <w:rPr>
          <w:rFonts w:ascii="Times New Roman" w:hAnsi="Times New Roman" w:cs="Times New Roman"/>
          <w:sz w:val="28"/>
          <w:szCs w:val="28"/>
        </w:rPr>
        <w:t>15</w:t>
      </w:r>
      <w:r w:rsidR="007F675F" w:rsidRPr="0083334B">
        <w:rPr>
          <w:rFonts w:ascii="Times New Roman" w:hAnsi="Times New Roman" w:cs="Times New Roman"/>
          <w:sz w:val="28"/>
          <w:szCs w:val="28"/>
        </w:rPr>
        <w:t>.1</w:t>
      </w:r>
      <w:r w:rsidR="00EA2A2B" w:rsidRPr="0083334B">
        <w:rPr>
          <w:rFonts w:ascii="Times New Roman" w:hAnsi="Times New Roman" w:cs="Times New Roman"/>
          <w:sz w:val="28"/>
          <w:szCs w:val="28"/>
        </w:rPr>
        <w:t>1</w:t>
      </w:r>
      <w:r w:rsidR="007F675F" w:rsidRPr="0083334B">
        <w:rPr>
          <w:rFonts w:ascii="Times New Roman" w:hAnsi="Times New Roman" w:cs="Times New Roman"/>
          <w:sz w:val="28"/>
          <w:szCs w:val="28"/>
        </w:rPr>
        <w:t>.</w:t>
      </w:r>
      <w:r w:rsidR="005E591F" w:rsidRPr="0083334B">
        <w:rPr>
          <w:rFonts w:ascii="Times New Roman" w:hAnsi="Times New Roman" w:cs="Times New Roman"/>
          <w:sz w:val="28"/>
          <w:szCs w:val="28"/>
        </w:rPr>
        <w:t>2017</w:t>
      </w:r>
      <w:r w:rsidRPr="0083334B">
        <w:rPr>
          <w:rFonts w:ascii="Times New Roman" w:hAnsi="Times New Roman" w:cs="Times New Roman"/>
          <w:sz w:val="28"/>
          <w:szCs w:val="28"/>
        </w:rPr>
        <w:t xml:space="preserve"> года</w:t>
      </w:r>
      <w:r w:rsidR="007F675F" w:rsidRPr="0083334B">
        <w:rPr>
          <w:rFonts w:ascii="Times New Roman" w:hAnsi="Times New Roman" w:cs="Times New Roman"/>
          <w:sz w:val="28"/>
          <w:szCs w:val="28"/>
        </w:rPr>
        <w:t xml:space="preserve"> </w:t>
      </w:r>
      <w:r w:rsidR="00F75F88" w:rsidRPr="0083334B">
        <w:rPr>
          <w:rFonts w:ascii="Times New Roman" w:hAnsi="Times New Roman" w:cs="Times New Roman"/>
          <w:sz w:val="28"/>
          <w:szCs w:val="28"/>
        </w:rPr>
        <w:t xml:space="preserve"> </w:t>
      </w:r>
      <w:r w:rsidRPr="0083334B">
        <w:rPr>
          <w:rFonts w:ascii="Times New Roman" w:hAnsi="Times New Roman" w:cs="Times New Roman"/>
          <w:sz w:val="28"/>
          <w:szCs w:val="28"/>
        </w:rPr>
        <w:t xml:space="preserve"> </w:t>
      </w:r>
      <w:r w:rsidR="00F75F88" w:rsidRPr="0083334B">
        <w:rPr>
          <w:rFonts w:ascii="Times New Roman" w:hAnsi="Times New Roman" w:cs="Times New Roman"/>
          <w:sz w:val="28"/>
          <w:szCs w:val="28"/>
        </w:rPr>
        <w:t xml:space="preserve">в </w:t>
      </w:r>
      <w:r w:rsidR="004335DF">
        <w:rPr>
          <w:rFonts w:ascii="Times New Roman" w:hAnsi="Times New Roman" w:cs="Times New Roman"/>
          <w:sz w:val="28"/>
          <w:szCs w:val="28"/>
        </w:rPr>
        <w:t>1</w:t>
      </w:r>
      <w:r w:rsidR="00F75F88" w:rsidRPr="0083334B">
        <w:rPr>
          <w:rFonts w:ascii="Times New Roman" w:hAnsi="Times New Roman" w:cs="Times New Roman"/>
          <w:sz w:val="28"/>
          <w:szCs w:val="28"/>
        </w:rPr>
        <w:t>0-00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w:t>
      </w:r>
      <w:r w:rsidRPr="000A59E5">
        <w:rPr>
          <w:rFonts w:ascii="Times New Roman" w:hAnsi="Times New Roman" w:cs="Times New Roman"/>
          <w:sz w:val="28"/>
          <w:szCs w:val="28"/>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0FA" w:rsidRDefault="002F00FA" w:rsidP="00070305">
      <w:pPr>
        <w:spacing w:after="0" w:line="240" w:lineRule="auto"/>
      </w:pPr>
      <w:r>
        <w:separator/>
      </w:r>
    </w:p>
  </w:endnote>
  <w:endnote w:type="continuationSeparator" w:id="1">
    <w:p w:rsidR="002F00FA" w:rsidRDefault="002F00FA"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0FA" w:rsidRDefault="002F00FA" w:rsidP="00070305">
      <w:pPr>
        <w:spacing w:after="0" w:line="240" w:lineRule="auto"/>
      </w:pPr>
      <w:r>
        <w:separator/>
      </w:r>
    </w:p>
  </w:footnote>
  <w:footnote w:type="continuationSeparator" w:id="1">
    <w:p w:rsidR="002F00FA" w:rsidRDefault="002F00FA"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72756"/>
    <w:rsid w:val="0008345B"/>
    <w:rsid w:val="0008429A"/>
    <w:rsid w:val="00085A2C"/>
    <w:rsid w:val="00087331"/>
    <w:rsid w:val="00091208"/>
    <w:rsid w:val="000A134B"/>
    <w:rsid w:val="000A5111"/>
    <w:rsid w:val="000A59E5"/>
    <w:rsid w:val="000B794E"/>
    <w:rsid w:val="000C0ED9"/>
    <w:rsid w:val="000E4E6B"/>
    <w:rsid w:val="000F0206"/>
    <w:rsid w:val="000F369C"/>
    <w:rsid w:val="00100732"/>
    <w:rsid w:val="00102967"/>
    <w:rsid w:val="00105C58"/>
    <w:rsid w:val="00117898"/>
    <w:rsid w:val="001260BA"/>
    <w:rsid w:val="0013389E"/>
    <w:rsid w:val="00174504"/>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0FA"/>
    <w:rsid w:val="002F12C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335DF"/>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1739"/>
    <w:rsid w:val="0050635B"/>
    <w:rsid w:val="00513CA3"/>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6F7F2C"/>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3334B"/>
    <w:rsid w:val="00850626"/>
    <w:rsid w:val="008528D0"/>
    <w:rsid w:val="00857F8E"/>
    <w:rsid w:val="0086091B"/>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14</Pages>
  <Words>4480</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25</cp:revision>
  <cp:lastPrinted>2017-10-06T12:24:00Z</cp:lastPrinted>
  <dcterms:created xsi:type="dcterms:W3CDTF">2017-04-19T12:09:00Z</dcterms:created>
  <dcterms:modified xsi:type="dcterms:W3CDTF">2017-10-06T12:24:00Z</dcterms:modified>
</cp:coreProperties>
</file>