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72" w:rsidRPr="00E60C72" w:rsidRDefault="00E60C72" w:rsidP="00E60C72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C72">
        <w:rPr>
          <w:rFonts w:ascii="Times New Roman" w:hAnsi="Times New Roman" w:cs="Times New Roman"/>
          <w:sz w:val="26"/>
          <w:szCs w:val="26"/>
        </w:rPr>
        <w:t xml:space="preserve">АНАЛИЗ </w:t>
      </w:r>
    </w:p>
    <w:p w:rsidR="00AA2C6D" w:rsidRDefault="00E60C72" w:rsidP="00E60C72">
      <w:pPr>
        <w:jc w:val="center"/>
        <w:rPr>
          <w:rFonts w:ascii="Times New Roman" w:hAnsi="Times New Roman" w:cs="Times New Roman"/>
          <w:sz w:val="26"/>
          <w:szCs w:val="26"/>
        </w:rPr>
      </w:pPr>
      <w:r w:rsidRPr="00E60C72">
        <w:rPr>
          <w:rFonts w:ascii="Times New Roman" w:hAnsi="Times New Roman" w:cs="Times New Roman"/>
          <w:sz w:val="26"/>
          <w:szCs w:val="26"/>
        </w:rPr>
        <w:t xml:space="preserve">поступивших обращений граждан в администрацию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60C72">
        <w:rPr>
          <w:rFonts w:ascii="Times New Roman" w:hAnsi="Times New Roman" w:cs="Times New Roman"/>
          <w:sz w:val="26"/>
          <w:szCs w:val="26"/>
        </w:rPr>
        <w:t>ннинского муниципального района Воронежской области</w:t>
      </w:r>
      <w:r w:rsidR="00732A3A">
        <w:rPr>
          <w:rFonts w:ascii="Times New Roman" w:hAnsi="Times New Roman" w:cs="Times New Roman"/>
          <w:sz w:val="26"/>
          <w:szCs w:val="26"/>
        </w:rPr>
        <w:t xml:space="preserve"> </w:t>
      </w:r>
      <w:r w:rsidR="00AA2C6D">
        <w:rPr>
          <w:rFonts w:ascii="Times New Roman" w:hAnsi="Times New Roman" w:cs="Times New Roman"/>
          <w:sz w:val="26"/>
          <w:szCs w:val="26"/>
        </w:rPr>
        <w:t xml:space="preserve">за </w:t>
      </w:r>
      <w:r w:rsidR="00AA2C6D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A2C6D">
        <w:rPr>
          <w:rFonts w:ascii="Times New Roman" w:hAnsi="Times New Roman" w:cs="Times New Roman"/>
          <w:sz w:val="26"/>
          <w:szCs w:val="26"/>
        </w:rPr>
        <w:t xml:space="preserve"> квартал 2022 года</w:t>
      </w:r>
    </w:p>
    <w:p w:rsidR="00E60C72" w:rsidRDefault="00E60C72" w:rsidP="00E60C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A2C6D" w:rsidRDefault="00525AC3" w:rsidP="00525AC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-64135</wp:posOffset>
            </wp:positionH>
            <wp:positionV relativeFrom="margin">
              <wp:posOffset>773430</wp:posOffset>
            </wp:positionV>
            <wp:extent cx="2952750" cy="1657350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 xml:space="preserve">В администрацию Аннинского муниципального района Воронежской области в третьем квартале 2022 года поступило </w:t>
      </w:r>
      <w:r w:rsidR="004C0CD0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4C0CD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граждан. Из них подавляющая часть это письменные обращения. По сравнению с предыдущим кварталом, где общее количество поступивших обращений </w:t>
      </w:r>
      <w:r w:rsidR="00D90AE4">
        <w:rPr>
          <w:rFonts w:ascii="Times New Roman" w:hAnsi="Times New Roman" w:cs="Times New Roman"/>
          <w:sz w:val="26"/>
          <w:szCs w:val="26"/>
        </w:rPr>
        <w:t xml:space="preserve">было </w:t>
      </w:r>
      <w:r w:rsidR="004C0CD0">
        <w:rPr>
          <w:rFonts w:ascii="Times New Roman" w:hAnsi="Times New Roman" w:cs="Times New Roman"/>
          <w:sz w:val="26"/>
          <w:szCs w:val="26"/>
        </w:rPr>
        <w:t>26</w:t>
      </w:r>
      <w:r w:rsidR="00D90AE4">
        <w:rPr>
          <w:rFonts w:ascii="Times New Roman" w:hAnsi="Times New Roman" w:cs="Times New Roman"/>
          <w:sz w:val="26"/>
          <w:szCs w:val="26"/>
        </w:rPr>
        <w:t xml:space="preserve">, есть небольшое </w:t>
      </w:r>
      <w:r w:rsidR="004C0CD0">
        <w:rPr>
          <w:rFonts w:ascii="Times New Roman" w:hAnsi="Times New Roman" w:cs="Times New Roman"/>
          <w:sz w:val="26"/>
          <w:szCs w:val="26"/>
        </w:rPr>
        <w:t>уменьшение</w:t>
      </w:r>
      <w:r w:rsidR="00D90AE4">
        <w:rPr>
          <w:rFonts w:ascii="Times New Roman" w:hAnsi="Times New Roman" w:cs="Times New Roman"/>
          <w:sz w:val="26"/>
          <w:szCs w:val="26"/>
        </w:rPr>
        <w:t xml:space="preserve"> на 13%.</w:t>
      </w:r>
    </w:p>
    <w:p w:rsidR="00B34A4E" w:rsidRDefault="00B34A4E" w:rsidP="002644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A4E" w:rsidRDefault="00B34A4E" w:rsidP="002644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740EC" w:rsidRDefault="00B34A4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2611755</wp:posOffset>
            </wp:positionH>
            <wp:positionV relativeFrom="margin">
              <wp:posOffset>2687955</wp:posOffset>
            </wp:positionV>
            <wp:extent cx="3990975" cy="3000375"/>
            <wp:effectExtent l="19050" t="0" r="9525" b="0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B326E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BB326E">
        <w:rPr>
          <w:rFonts w:ascii="Times New Roman" w:hAnsi="Times New Roman" w:cs="Times New Roman"/>
          <w:sz w:val="26"/>
          <w:szCs w:val="26"/>
        </w:rPr>
        <w:t>третьем</w:t>
      </w:r>
      <w:proofErr w:type="gramEnd"/>
      <w:r w:rsidR="00BB326E">
        <w:rPr>
          <w:rFonts w:ascii="Times New Roman" w:hAnsi="Times New Roman" w:cs="Times New Roman"/>
          <w:sz w:val="26"/>
          <w:szCs w:val="26"/>
        </w:rPr>
        <w:t xml:space="preserve"> квартале </w:t>
      </w:r>
      <w:r w:rsidR="004C0CD0">
        <w:rPr>
          <w:rFonts w:ascii="Times New Roman" w:hAnsi="Times New Roman" w:cs="Times New Roman"/>
          <w:sz w:val="26"/>
          <w:szCs w:val="26"/>
        </w:rPr>
        <w:t xml:space="preserve">письменные </w:t>
      </w:r>
      <w:r w:rsidR="00BB326E">
        <w:rPr>
          <w:rFonts w:ascii="Times New Roman" w:hAnsi="Times New Roman" w:cs="Times New Roman"/>
          <w:sz w:val="26"/>
          <w:szCs w:val="26"/>
        </w:rPr>
        <w:t xml:space="preserve">обращения граждан </w:t>
      </w:r>
      <w:r>
        <w:rPr>
          <w:rFonts w:ascii="Times New Roman" w:hAnsi="Times New Roman" w:cs="Times New Roman"/>
          <w:sz w:val="26"/>
          <w:szCs w:val="26"/>
        </w:rPr>
        <w:t xml:space="preserve">по источникам поступления </w:t>
      </w:r>
      <w:r w:rsidR="00BB326E">
        <w:rPr>
          <w:rFonts w:ascii="Times New Roman" w:hAnsi="Times New Roman" w:cs="Times New Roman"/>
          <w:sz w:val="26"/>
          <w:szCs w:val="26"/>
        </w:rPr>
        <w:t>соответственно:</w:t>
      </w:r>
    </w:p>
    <w:p w:rsidR="00BB326E" w:rsidRDefault="00BB326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Интернет-приемная -</w:t>
      </w:r>
      <w:r w:rsidR="004C0CD0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326E" w:rsidRDefault="00BB326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Электронная почта – </w:t>
      </w:r>
      <w:r w:rsidR="004C0CD0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326E" w:rsidRDefault="00BB326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Почтовые отправления -</w:t>
      </w:r>
      <w:r w:rsidR="004C0CD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B326E" w:rsidRDefault="00BB326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Личная доставка – 1.</w:t>
      </w:r>
    </w:p>
    <w:p w:rsidR="00BB326E" w:rsidRDefault="00BB326E" w:rsidP="00BB3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Исходя и</w:t>
      </w:r>
      <w:r w:rsidR="00B34A4E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 этого, большая часть обращений граждан поступает через электронный канал связи около 8</w:t>
      </w:r>
      <w:r w:rsidR="004C0CD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% от общего количества поступивших обращений, по сравнению с предыдущим кварталом тенденция сохраняется, где так же лидирует этот вид связи.</w:t>
      </w:r>
    </w:p>
    <w:p w:rsidR="00BB326E" w:rsidRDefault="00BB326E" w:rsidP="00BB3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B326E" w:rsidRDefault="00B34A4E" w:rsidP="00BB3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виду обращений данные представлены следующим образом:</w:t>
      </w:r>
    </w:p>
    <w:p w:rsidR="00B34A4E" w:rsidRDefault="00B34A4E" w:rsidP="00BB3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Заявления – </w:t>
      </w:r>
      <w:r w:rsidR="004C0CD0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 Жалобы – 1  Предложения – </w:t>
      </w:r>
      <w:r w:rsidR="004C1E1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34A4E" w:rsidRDefault="001C3357" w:rsidP="00BB3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Повторных обращений не было</w:t>
      </w:r>
      <w:r w:rsidR="00B34A4E">
        <w:rPr>
          <w:rFonts w:ascii="Times New Roman" w:hAnsi="Times New Roman" w:cs="Times New Roman"/>
          <w:sz w:val="26"/>
          <w:szCs w:val="26"/>
        </w:rPr>
        <w:t>.</w:t>
      </w:r>
    </w:p>
    <w:p w:rsidR="00B34A4E" w:rsidRDefault="00B34A4E" w:rsidP="00BB326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34A4E" w:rsidRDefault="00B34A4E" w:rsidP="00BB326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обращений граждан по тематике обращений</w:t>
      </w:r>
    </w:p>
    <w:p w:rsidR="00BB326E" w:rsidRDefault="008969D7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353175" cy="2571750"/>
            <wp:effectExtent l="0" t="0" r="0" b="0"/>
            <wp:docPr id="12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F1453" w:rsidRDefault="004C1E1C" w:rsidP="00172FA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 выше представленной </w:t>
      </w:r>
      <w:r w:rsidR="008969D7">
        <w:rPr>
          <w:rFonts w:ascii="Times New Roman" w:hAnsi="Times New Roman" w:cs="Times New Roman"/>
          <w:sz w:val="26"/>
          <w:szCs w:val="26"/>
        </w:rPr>
        <w:t>диаграммы</w:t>
      </w:r>
      <w:r>
        <w:rPr>
          <w:rFonts w:ascii="Times New Roman" w:hAnsi="Times New Roman" w:cs="Times New Roman"/>
          <w:sz w:val="26"/>
          <w:szCs w:val="26"/>
        </w:rPr>
        <w:t xml:space="preserve"> следует, что динамика по отношению к прошлому кварталу </w:t>
      </w:r>
      <w:r w:rsidR="000A624F">
        <w:rPr>
          <w:rFonts w:ascii="Times New Roman" w:hAnsi="Times New Roman" w:cs="Times New Roman"/>
          <w:sz w:val="26"/>
          <w:szCs w:val="26"/>
        </w:rPr>
        <w:t>выше</w:t>
      </w:r>
      <w:r w:rsidR="008C4C8A">
        <w:rPr>
          <w:rFonts w:ascii="Times New Roman" w:hAnsi="Times New Roman" w:cs="Times New Roman"/>
          <w:sz w:val="26"/>
          <w:szCs w:val="26"/>
        </w:rPr>
        <w:t xml:space="preserve"> по таким тематикам как: социальная сфера. По другим тематикам изменения незначительны.</w:t>
      </w:r>
    </w:p>
    <w:p w:rsidR="008C4C8A" w:rsidRDefault="008C4C8A" w:rsidP="002644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4C8A" w:rsidRDefault="008969D7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96050" cy="2571750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72FA0" w:rsidRDefault="00172FA0" w:rsidP="00525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538E" w:rsidRDefault="0052538E" w:rsidP="0052538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Ключевой тематикой в третьем квартале 2022 года является «Экономика», по данной тематике поступило </w:t>
      </w:r>
      <w:r w:rsidR="000A624F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 xml:space="preserve"> обращений, а это </w:t>
      </w:r>
      <w:r w:rsidR="000A624F">
        <w:rPr>
          <w:rFonts w:ascii="Times New Roman" w:hAnsi="Times New Roman" w:cs="Times New Roman"/>
          <w:sz w:val="26"/>
          <w:szCs w:val="26"/>
        </w:rPr>
        <w:t>65</w:t>
      </w:r>
      <w:r>
        <w:rPr>
          <w:rFonts w:ascii="Times New Roman" w:hAnsi="Times New Roman" w:cs="Times New Roman"/>
          <w:sz w:val="26"/>
          <w:szCs w:val="26"/>
        </w:rPr>
        <w:t>% от общего числа поступивших обращений.</w:t>
      </w:r>
    </w:p>
    <w:p w:rsidR="0052538E" w:rsidRDefault="0052538E" w:rsidP="0052538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2538E" w:rsidRDefault="001C3357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третьем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квартале 2022 года рассмотренных по существу обращений граждан администрацией Аннинского муниципального района составляет 13 из </w:t>
      </w:r>
      <w:r w:rsidR="000A624F">
        <w:rPr>
          <w:rFonts w:ascii="Times New Roman" w:hAnsi="Times New Roman" w:cs="Times New Roman"/>
          <w:sz w:val="26"/>
          <w:szCs w:val="26"/>
        </w:rPr>
        <w:t>23</w:t>
      </w:r>
      <w:r>
        <w:rPr>
          <w:rFonts w:ascii="Times New Roman" w:hAnsi="Times New Roman" w:cs="Times New Roman"/>
          <w:sz w:val="26"/>
          <w:szCs w:val="26"/>
        </w:rPr>
        <w:t xml:space="preserve"> поступивших, остальные </w:t>
      </w:r>
      <w:r w:rsidR="000A624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были переадресованы в соответствии с законодательством РФ в другие органы власти. С формулировкой «дан ответ автору» (неразборчивый почерк, ненормативная лексика, неясная суть обращения)</w:t>
      </w:r>
      <w:r w:rsidR="001A001E">
        <w:rPr>
          <w:rFonts w:ascii="Times New Roman" w:hAnsi="Times New Roman" w:cs="Times New Roman"/>
          <w:sz w:val="26"/>
          <w:szCs w:val="26"/>
        </w:rPr>
        <w:t>, а так же «оставлено без ответа автору» (аноним)</w:t>
      </w:r>
      <w:r>
        <w:rPr>
          <w:rFonts w:ascii="Times New Roman" w:hAnsi="Times New Roman" w:cs="Times New Roman"/>
          <w:sz w:val="26"/>
          <w:szCs w:val="26"/>
        </w:rPr>
        <w:t xml:space="preserve"> в данном квартале отсутствуют.</w:t>
      </w:r>
    </w:p>
    <w:p w:rsidR="008369B9" w:rsidRDefault="008369B9" w:rsidP="002644E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369B9" w:rsidRPr="004C0CD0" w:rsidRDefault="00573BEE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рассмотрения обращений граждан в третьем квартале 2022 года.</w:t>
      </w:r>
    </w:p>
    <w:p w:rsidR="000308A3" w:rsidRDefault="000308A3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67475" cy="22955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2677" w:rsidRPr="007A2677" w:rsidRDefault="008E3178" w:rsidP="002644E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Обращения с нарушением срока предоставления ответа заявителю в третьем квартале 2022 года отсутствуют. </w:t>
      </w:r>
      <w:r w:rsidR="00DB13A9">
        <w:rPr>
          <w:rFonts w:ascii="Times New Roman" w:hAnsi="Times New Roman" w:cs="Times New Roman"/>
          <w:sz w:val="26"/>
          <w:szCs w:val="26"/>
        </w:rPr>
        <w:t>Обращений содержащих информацию о фактах коррупции не поступало.</w:t>
      </w:r>
    </w:p>
    <w:sectPr w:rsidR="007A2677" w:rsidRPr="007A2677" w:rsidSect="00732A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C72"/>
    <w:rsid w:val="000308A3"/>
    <w:rsid w:val="00037406"/>
    <w:rsid w:val="000A624F"/>
    <w:rsid w:val="000E3EF9"/>
    <w:rsid w:val="00172FA0"/>
    <w:rsid w:val="001A001E"/>
    <w:rsid w:val="001C3357"/>
    <w:rsid w:val="002644EA"/>
    <w:rsid w:val="0029788F"/>
    <w:rsid w:val="002A5D89"/>
    <w:rsid w:val="004C0CD0"/>
    <w:rsid w:val="004C1E1C"/>
    <w:rsid w:val="0052538E"/>
    <w:rsid w:val="00525AC3"/>
    <w:rsid w:val="00573BEE"/>
    <w:rsid w:val="005740EC"/>
    <w:rsid w:val="00650783"/>
    <w:rsid w:val="00651E16"/>
    <w:rsid w:val="00732A3A"/>
    <w:rsid w:val="007A2677"/>
    <w:rsid w:val="008369B9"/>
    <w:rsid w:val="008969D7"/>
    <w:rsid w:val="008C0EF6"/>
    <w:rsid w:val="008C4C8A"/>
    <w:rsid w:val="008E3178"/>
    <w:rsid w:val="009F1453"/>
    <w:rsid w:val="00A74494"/>
    <w:rsid w:val="00AA2C6D"/>
    <w:rsid w:val="00B20C15"/>
    <w:rsid w:val="00B34A4E"/>
    <w:rsid w:val="00B530B1"/>
    <w:rsid w:val="00BB326E"/>
    <w:rsid w:val="00C10617"/>
    <w:rsid w:val="00C82527"/>
    <w:rsid w:val="00D72A9E"/>
    <w:rsid w:val="00D90AE4"/>
    <w:rsid w:val="00DB13A9"/>
    <w:rsid w:val="00E60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C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C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0EF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C0EF6"/>
    <w:rPr>
      <w:b/>
      <w:bCs/>
    </w:rPr>
  </w:style>
  <w:style w:type="character" w:styleId="a7">
    <w:name w:val="Emphasis"/>
    <w:basedOn w:val="a0"/>
    <w:uiPriority w:val="20"/>
    <w:qFormat/>
    <w:rsid w:val="008C0E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title>
      <c:txPr>
        <a:bodyPr/>
        <a:lstStyle/>
        <a:p>
          <a:pPr>
            <a:defRPr sz="1300"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1584596701531725E-2"/>
          <c:y val="0.19758120478842603"/>
          <c:w val="0.41637325185098162"/>
          <c:h val="0.68041482619550675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обращений</c:v>
                </c:pt>
              </c:strCache>
            </c:strRef>
          </c:tx>
          <c:dLbls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Письменные</c:v>
                </c:pt>
                <c:pt idx="1">
                  <c:v>Устные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21</c:v>
                </c:pt>
                <c:pt idx="1">
                  <c:v>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1343391753450174"/>
          <c:y val="0.35162578815579087"/>
          <c:w val="0.41143766404199478"/>
          <c:h val="0.35988834728992269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 w="12700">
      <a:solidFill>
        <a:schemeClr val="tx1"/>
      </a:solidFill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Pr>
        <a:bodyPr/>
        <a:lstStyle/>
        <a:p>
          <a:pPr>
            <a:defRPr sz="1300"/>
          </a:pPr>
          <a:endParaRPr lang="ru-RU"/>
        </a:p>
      </c:txPr>
    </c:title>
    <c:view3D>
      <c:rotX val="30"/>
      <c:rotY val="1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поступления обращения</c:v>
                </c:pt>
              </c:strCache>
            </c:strRef>
          </c:tx>
          <c:dPt>
            <c:idx val="2"/>
            <c:spPr>
              <a:ln w="12700"/>
            </c:spPr>
          </c:dPt>
          <c:dLbls>
            <c:dLblPos val="bestFit"/>
            <c:showCatName val="1"/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Почтовые отправления</c:v>
                </c:pt>
                <c:pt idx="1">
                  <c:v>Личная доставка</c:v>
                </c:pt>
                <c:pt idx="2">
                  <c:v>Интернет-приемная</c:v>
                </c:pt>
                <c:pt idx="3">
                  <c:v>Электронная почта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9</c:v>
                </c:pt>
                <c:pt idx="3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spPr>
    <a:ln w="12700">
      <a:solidFill>
        <a:schemeClr val="tx1"/>
      </a:solidFill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10"/>
  <c:chart>
    <c:autoTitleDeleted val="1"/>
    <c:plotArea>
      <c:layout>
        <c:manualLayout>
          <c:layoutTarget val="inner"/>
          <c:xMode val="edge"/>
          <c:yMode val="edge"/>
          <c:x val="0.13364355058027391"/>
          <c:y val="2.2477052246922227E-2"/>
          <c:w val="0.83422793536350293"/>
          <c:h val="0.6793712388161440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  <c:pt idx="4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ЖИЛИЩНО-КОММУНАЛЬНАЯ СФЕРА</c:v>
                </c:pt>
                <c:pt idx="2">
                  <c:v>ОБОРОНА, БЕЗОПАСНОСТЬ, ЗАКОННОСТЬ</c:v>
                </c:pt>
                <c:pt idx="3">
                  <c:v>СОЦИАЛЬНАЯ СФЕРА</c:v>
                </c:pt>
                <c:pt idx="4">
                  <c:v>ЭКОНОМИКА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18</c:v>
                </c:pt>
              </c:numCache>
            </c:numRef>
          </c:val>
        </c:ser>
        <c:axId val="115054848"/>
        <c:axId val="115445760"/>
      </c:barChart>
      <c:catAx>
        <c:axId val="115054848"/>
        <c:scaling>
          <c:orientation val="minMax"/>
        </c:scaling>
        <c:axPos val="b"/>
        <c:majorTickMark val="none"/>
        <c:tickLblPos val="nextTo"/>
        <c:crossAx val="115445760"/>
        <c:crosses val="autoZero"/>
        <c:auto val="1"/>
        <c:lblAlgn val="ctr"/>
        <c:lblOffset val="100"/>
      </c:catAx>
      <c:valAx>
        <c:axId val="11544576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15054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>
            <a:solidFill>
              <a:srgbClr val="4F81BD"/>
            </a:solidFill>
          </a:ln>
        </c:spPr>
      </c:dTable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roundedCorners val="1"/>
  <c:style val="10"/>
  <c:chart>
    <c:autoTitleDeleted val="1"/>
    <c:plotArea>
      <c:layout>
        <c:manualLayout>
          <c:layoutTarget val="inner"/>
          <c:xMode val="edge"/>
          <c:yMode val="edge"/>
          <c:x val="7.3313782991202454E-3"/>
          <c:y val="0"/>
          <c:w val="0.45509825201468584"/>
          <c:h val="0.98846180851597376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ln>
                <a:noFill/>
              </a:ln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15</c:v>
                </c:pt>
                <c:pt idx="3">
                  <c:v>0</c:v>
                </c:pt>
                <c:pt idx="4">
                  <c:v>2</c:v>
                </c:pt>
              </c:numCache>
            </c:numRef>
          </c:val>
        </c:ser>
        <c:dLbls>
          <c:showPercent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6334310850439875"/>
          <c:y val="0.14611995722756876"/>
          <c:w val="0.51124144672531768"/>
          <c:h val="0.73186157285894815"/>
        </c:manualLayout>
      </c:layout>
      <c:spPr>
        <a:ln>
          <a:noFill/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solidFill>
      <a:schemeClr val="lt1"/>
    </a:solidFill>
    <a:ln w="25400" cap="flat" cmpd="sng" algn="ctr">
      <a:noFill/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6183026105771634"/>
          <c:y val="5.9523809523809507E-2"/>
          <c:w val="0.71971795252734194"/>
          <c:h val="0.73057401457104865"/>
        </c:manualLayout>
      </c:layout>
      <c:bar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Направлено по компетенции в иной орган</c:v>
                </c:pt>
                <c:pt idx="1">
                  <c:v>Оставлено без ответа автору</c:v>
                </c:pt>
                <c:pt idx="2">
                  <c:v>Дан ответ автору</c:v>
                </c:pt>
                <c:pt idx="3">
                  <c:v>Не поддержано</c:v>
                </c:pt>
                <c:pt idx="4">
                  <c:v>Разъяснено</c:v>
                </c:pt>
                <c:pt idx="5">
                  <c:v>Меры приняты</c:v>
                </c:pt>
                <c:pt idx="6">
                  <c:v>Поддержано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Направлено по компетенции в иной орган</c:v>
                </c:pt>
                <c:pt idx="1">
                  <c:v>Оставлено без ответа автору</c:v>
                </c:pt>
                <c:pt idx="2">
                  <c:v>Дан ответ автору</c:v>
                </c:pt>
                <c:pt idx="3">
                  <c:v>Не поддержано</c:v>
                </c:pt>
                <c:pt idx="4">
                  <c:v>Разъяснено</c:v>
                </c:pt>
                <c:pt idx="5">
                  <c:v>Меры приняты</c:v>
                </c:pt>
                <c:pt idx="6">
                  <c:v>Поддержано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dLbls>
            <c:dLbl>
              <c:idx val="1"/>
              <c:delete val="1"/>
            </c:dLbl>
            <c:dLbl>
              <c:idx val="2"/>
              <c:delete val="1"/>
            </c:dLbl>
            <c:dLbl>
              <c:idx val="3"/>
              <c:delete val="1"/>
            </c:dLbl>
            <c:dLbl>
              <c:idx val="6"/>
              <c:delete val="1"/>
            </c:dLbl>
            <c:dLblPos val="inEnd"/>
            <c:showVal val="1"/>
          </c:dLbls>
          <c:cat>
            <c:strRef>
              <c:f>Лист1!$A$2:$A$8</c:f>
              <c:strCache>
                <c:ptCount val="7"/>
                <c:pt idx="0">
                  <c:v>Направлено по компетенции в иной орган</c:v>
                </c:pt>
                <c:pt idx="1">
                  <c:v>Оставлено без ответа автору</c:v>
                </c:pt>
                <c:pt idx="2">
                  <c:v>Дан ответ автору</c:v>
                </c:pt>
                <c:pt idx="3">
                  <c:v>Не поддержано</c:v>
                </c:pt>
                <c:pt idx="4">
                  <c:v>Разъяснено</c:v>
                </c:pt>
                <c:pt idx="5">
                  <c:v>Меры приняты</c:v>
                </c:pt>
                <c:pt idx="6">
                  <c:v>Поддержано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3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gapWidth val="75"/>
        <c:overlap val="100"/>
        <c:axId val="82537856"/>
        <c:axId val="84423808"/>
      </c:barChart>
      <c:catAx>
        <c:axId val="82537856"/>
        <c:scaling>
          <c:orientation val="minMax"/>
        </c:scaling>
        <c:axPos val="l"/>
        <c:majorTickMark val="none"/>
        <c:tickLblPos val="nextTo"/>
        <c:crossAx val="84423808"/>
        <c:crosses val="autoZero"/>
        <c:auto val="1"/>
        <c:lblAlgn val="ctr"/>
        <c:lblOffset val="100"/>
        <c:tickLblSkip val="1"/>
      </c:catAx>
      <c:valAx>
        <c:axId val="84423808"/>
        <c:scaling>
          <c:orientation val="minMax"/>
        </c:scaling>
        <c:axPos val="b"/>
        <c:numFmt formatCode="General" sourceLinked="1"/>
        <c:majorTickMark val="none"/>
        <c:tickLblPos val="nextTo"/>
        <c:crossAx val="82537856"/>
        <c:crosses val="autoZero"/>
        <c:crossBetween val="between"/>
      </c:valAx>
    </c:plotArea>
    <c:plotVisOnly val="1"/>
  </c:chart>
  <c:spPr>
    <a:ln>
      <a:noFill/>
    </a:ln>
  </c:spPr>
  <c:txPr>
    <a:bodyPr/>
    <a:lstStyle/>
    <a:p>
      <a:pPr>
        <a:defRPr sz="12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EC6A9-204E-4ABB-8EC7-C6783D988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Решетников Сергей</dc:creator>
  <cp:keywords/>
  <dc:description/>
  <cp:lastModifiedBy>Решетников Сергей</cp:lastModifiedBy>
  <cp:revision>7</cp:revision>
  <dcterms:created xsi:type="dcterms:W3CDTF">2022-10-07T07:14:00Z</dcterms:created>
  <dcterms:modified xsi:type="dcterms:W3CDTF">2022-10-08T20:19:00Z</dcterms:modified>
</cp:coreProperties>
</file>